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FB" w:rsidRDefault="00DE13EE" w:rsidP="00DE13EE">
      <w:pPr>
        <w:bidi w:val="0"/>
        <w:rPr>
          <w:rFonts w:cs="David"/>
          <w:b/>
          <w:bCs/>
        </w:rPr>
      </w:pPr>
      <w:r w:rsidRPr="009E51FB">
        <w:rPr>
          <w:rFonts w:cs="David"/>
          <w:b/>
          <w:bCs/>
        </w:rPr>
        <w:t xml:space="preserve">Bidding Guidelines </w:t>
      </w:r>
    </w:p>
    <w:tbl>
      <w:tblPr>
        <w:tblW w:w="10490" w:type="dxa"/>
        <w:tblInd w:w="-10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56"/>
        <w:gridCol w:w="10034"/>
      </w:tblGrid>
      <w:tr w:rsidR="00DE13EE" w:rsidRPr="00CC381C" w:rsidTr="00CC381C">
        <w:tc>
          <w:tcPr>
            <w:tcW w:w="456" w:type="dxa"/>
            <w:shd w:val="clear" w:color="auto" w:fill="auto"/>
            <w:vAlign w:val="center"/>
          </w:tcPr>
          <w:p w:rsidR="00DE13EE" w:rsidRPr="00CC381C" w:rsidRDefault="00DE13EE" w:rsidP="00CC381C">
            <w:pPr>
              <w:bidi w:val="0"/>
              <w:jc w:val="center"/>
              <w:rPr>
                <w:rFonts w:cs="David"/>
                <w:caps/>
              </w:rPr>
            </w:pPr>
            <w:r w:rsidRPr="00CC381C">
              <w:rPr>
                <w:rFonts w:cs="David"/>
                <w:caps/>
              </w:rPr>
              <w:t>1</w:t>
            </w:r>
          </w:p>
        </w:tc>
        <w:tc>
          <w:tcPr>
            <w:tcW w:w="10034" w:type="dxa"/>
            <w:shd w:val="clear" w:color="auto" w:fill="auto"/>
          </w:tcPr>
          <w:p w:rsidR="00DE13EE" w:rsidRPr="00CC381C" w:rsidRDefault="00DE13EE" w:rsidP="00CC381C">
            <w:pPr>
              <w:bidi w:val="0"/>
              <w:rPr>
                <w:rFonts w:cs="David"/>
                <w:caps/>
              </w:rPr>
            </w:pPr>
            <w:r w:rsidRPr="00CC381C">
              <w:rPr>
                <w:rFonts w:cs="David"/>
                <w:caps/>
              </w:rPr>
              <w:t>Don’t overcall 1NT without stop (preferably 2 stops) in opener’s suit.</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2</w:t>
            </w:r>
          </w:p>
        </w:tc>
        <w:tc>
          <w:tcPr>
            <w:tcW w:w="10034" w:type="dxa"/>
            <w:shd w:val="clear" w:color="auto" w:fill="auto"/>
          </w:tcPr>
          <w:p w:rsidR="00DE13EE" w:rsidRPr="00CC381C" w:rsidRDefault="00DE13EE" w:rsidP="00CC381C">
            <w:pPr>
              <w:bidi w:val="0"/>
              <w:rPr>
                <w:rFonts w:cs="David"/>
              </w:rPr>
            </w:pPr>
            <w:r w:rsidRPr="00CC381C">
              <w:rPr>
                <w:rFonts w:cs="David"/>
              </w:rPr>
              <w:t xml:space="preserve">Don’t bid 1NT over overcall without stop (preferably 2) in </w:t>
            </w:r>
            <w:proofErr w:type="spellStart"/>
            <w:r w:rsidRPr="00CC381C">
              <w:rPr>
                <w:rFonts w:cs="David"/>
              </w:rPr>
              <w:t>overcaller’s</w:t>
            </w:r>
            <w:proofErr w:type="spellEnd"/>
            <w:r w:rsidRPr="00CC381C">
              <w:rPr>
                <w:rFonts w:cs="David"/>
              </w:rPr>
              <w:t xml:space="preserve"> suit.</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3</w:t>
            </w:r>
          </w:p>
        </w:tc>
        <w:tc>
          <w:tcPr>
            <w:tcW w:w="10034" w:type="dxa"/>
            <w:shd w:val="clear" w:color="auto" w:fill="auto"/>
          </w:tcPr>
          <w:p w:rsidR="00DE13EE" w:rsidRPr="00CC381C" w:rsidRDefault="00DE13EE" w:rsidP="00CC381C">
            <w:pPr>
              <w:bidi w:val="0"/>
              <w:rPr>
                <w:rFonts w:cs="David"/>
              </w:rPr>
            </w:pPr>
            <w:r w:rsidRPr="00CC381C">
              <w:rPr>
                <w:rFonts w:cs="David"/>
              </w:rPr>
              <w:t>Don’t pre-empt a bad suit if you have points in majors (3-card major with 2 honors)</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4</w:t>
            </w:r>
          </w:p>
        </w:tc>
        <w:tc>
          <w:tcPr>
            <w:tcW w:w="10034" w:type="dxa"/>
            <w:shd w:val="clear" w:color="auto" w:fill="auto"/>
          </w:tcPr>
          <w:p w:rsidR="00DE13EE" w:rsidRPr="00CC381C" w:rsidRDefault="00DE13EE" w:rsidP="00CC381C">
            <w:pPr>
              <w:bidi w:val="0"/>
              <w:rPr>
                <w:rFonts w:cs="David"/>
              </w:rPr>
            </w:pPr>
            <w:r w:rsidRPr="00CC381C">
              <w:rPr>
                <w:rFonts w:cs="David"/>
              </w:rPr>
              <w:t>Don’t pre-empt in a minor (or major) if you have a (or the other) 4-card major.</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5</w:t>
            </w:r>
          </w:p>
        </w:tc>
        <w:tc>
          <w:tcPr>
            <w:tcW w:w="10034" w:type="dxa"/>
            <w:shd w:val="clear" w:color="auto" w:fill="auto"/>
          </w:tcPr>
          <w:p w:rsidR="00DE13EE" w:rsidRPr="00CC381C" w:rsidRDefault="00DE13EE" w:rsidP="00CC381C">
            <w:pPr>
              <w:bidi w:val="0"/>
              <w:rPr>
                <w:rFonts w:cs="David"/>
              </w:rPr>
            </w:pPr>
            <w:r w:rsidRPr="00CC381C">
              <w:rPr>
                <w:rFonts w:cs="David"/>
              </w:rPr>
              <w:t>Pre-</w:t>
            </w:r>
            <w:proofErr w:type="spellStart"/>
            <w:r w:rsidRPr="00CC381C">
              <w:rPr>
                <w:rFonts w:cs="David"/>
              </w:rPr>
              <w:t>emptors</w:t>
            </w:r>
            <w:proofErr w:type="spellEnd"/>
            <w:r w:rsidRPr="00CC381C">
              <w:rPr>
                <w:rFonts w:cs="David"/>
              </w:rPr>
              <w:t xml:space="preserve"> only bid once. Once the opponent has pre-empted, you can’t.</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6</w:t>
            </w:r>
          </w:p>
        </w:tc>
        <w:tc>
          <w:tcPr>
            <w:tcW w:w="10034" w:type="dxa"/>
            <w:shd w:val="clear" w:color="auto" w:fill="auto"/>
          </w:tcPr>
          <w:p w:rsidR="00DE13EE" w:rsidRPr="00CC381C" w:rsidRDefault="00DE13EE" w:rsidP="00CC381C">
            <w:pPr>
              <w:bidi w:val="0"/>
              <w:rPr>
                <w:rFonts w:cs="David"/>
              </w:rPr>
            </w:pPr>
            <w:r w:rsidRPr="00CC381C">
              <w:rPr>
                <w:rFonts w:cs="David"/>
              </w:rPr>
              <w:t>Don’t talk, fidget, groan, or fiddle with bidding box before you bid.</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7</w:t>
            </w:r>
          </w:p>
        </w:tc>
        <w:tc>
          <w:tcPr>
            <w:tcW w:w="10034" w:type="dxa"/>
            <w:shd w:val="clear" w:color="auto" w:fill="auto"/>
          </w:tcPr>
          <w:p w:rsidR="00DE13EE" w:rsidRPr="00CC381C" w:rsidRDefault="00DE13EE" w:rsidP="00CC381C">
            <w:pPr>
              <w:bidi w:val="0"/>
              <w:rPr>
                <w:rFonts w:cs="David"/>
              </w:rPr>
            </w:pPr>
            <w:r w:rsidRPr="00CC381C">
              <w:rPr>
                <w:rFonts w:cs="David"/>
              </w:rPr>
              <w:t>Respond 2D over a 2C opening unless you have a good 5+ card major headed by the AK or KQ.</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8</w:t>
            </w:r>
          </w:p>
        </w:tc>
        <w:tc>
          <w:tcPr>
            <w:tcW w:w="10034" w:type="dxa"/>
            <w:shd w:val="clear" w:color="auto" w:fill="auto"/>
          </w:tcPr>
          <w:p w:rsidR="00DE13EE" w:rsidRPr="00CC381C" w:rsidRDefault="00DE13EE" w:rsidP="00CC381C">
            <w:pPr>
              <w:bidi w:val="0"/>
              <w:rPr>
                <w:rFonts w:cs="David"/>
              </w:rPr>
            </w:pPr>
            <w:r w:rsidRPr="00CC381C">
              <w:rPr>
                <w:rFonts w:cs="David"/>
              </w:rPr>
              <w:t>Don’t overcall a 4-card suit</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9</w:t>
            </w:r>
          </w:p>
        </w:tc>
        <w:tc>
          <w:tcPr>
            <w:tcW w:w="10034" w:type="dxa"/>
            <w:shd w:val="clear" w:color="auto" w:fill="auto"/>
          </w:tcPr>
          <w:p w:rsidR="00DE13EE" w:rsidRPr="00CC381C" w:rsidRDefault="00DE13EE" w:rsidP="00CC381C">
            <w:pPr>
              <w:bidi w:val="0"/>
              <w:rPr>
                <w:rFonts w:cs="David"/>
              </w:rPr>
            </w:pPr>
            <w:r w:rsidRPr="00CC381C">
              <w:rPr>
                <w:rFonts w:cs="David"/>
              </w:rPr>
              <w:t>With 5 spades and 5 clubs and a minimum hand, open 1C. (Trust me, this works.)</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10</w:t>
            </w:r>
          </w:p>
        </w:tc>
        <w:tc>
          <w:tcPr>
            <w:tcW w:w="10034" w:type="dxa"/>
            <w:shd w:val="clear" w:color="auto" w:fill="auto"/>
          </w:tcPr>
          <w:p w:rsidR="00DE13EE" w:rsidRPr="00CC381C" w:rsidRDefault="00DE13EE" w:rsidP="00CC381C">
            <w:pPr>
              <w:bidi w:val="0"/>
              <w:rPr>
                <w:rFonts w:cs="David"/>
              </w:rPr>
            </w:pPr>
            <w:r w:rsidRPr="00CC381C">
              <w:rPr>
                <w:rFonts w:cs="David"/>
              </w:rPr>
              <w:t xml:space="preserve">When your partner bids a major over a minor opening (shows 4+), don’t </w:t>
            </w:r>
            <w:proofErr w:type="gramStart"/>
            <w:r w:rsidRPr="00CC381C">
              <w:rPr>
                <w:rFonts w:cs="David"/>
              </w:rPr>
              <w:t>raise</w:t>
            </w:r>
            <w:proofErr w:type="gramEnd"/>
            <w:r w:rsidRPr="00CC381C">
              <w:rPr>
                <w:rFonts w:cs="David"/>
              </w:rPr>
              <w:t xml:space="preserve"> unless you have 4.</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11</w:t>
            </w:r>
          </w:p>
        </w:tc>
        <w:tc>
          <w:tcPr>
            <w:tcW w:w="10034" w:type="dxa"/>
            <w:shd w:val="clear" w:color="auto" w:fill="auto"/>
          </w:tcPr>
          <w:p w:rsidR="00DE13EE" w:rsidRPr="00CC381C" w:rsidRDefault="00DE13EE" w:rsidP="00CC381C">
            <w:pPr>
              <w:bidi w:val="0"/>
              <w:rPr>
                <w:rFonts w:cs="David"/>
              </w:rPr>
            </w:pPr>
            <w:r w:rsidRPr="00CC381C">
              <w:rPr>
                <w:rFonts w:cs="David"/>
              </w:rPr>
              <w:t xml:space="preserve">Don’t use limit raise after opponent’s overcall. </w:t>
            </w:r>
            <w:proofErr w:type="spellStart"/>
            <w:r w:rsidRPr="00CC381C">
              <w:rPr>
                <w:rFonts w:cs="David"/>
              </w:rPr>
              <w:t>Cuebid</w:t>
            </w:r>
            <w:proofErr w:type="spellEnd"/>
            <w:r w:rsidRPr="00CC381C">
              <w:rPr>
                <w:rFonts w:cs="David"/>
              </w:rPr>
              <w:t xml:space="preserve"> their suit instead.</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12</w:t>
            </w:r>
          </w:p>
        </w:tc>
        <w:tc>
          <w:tcPr>
            <w:tcW w:w="10034" w:type="dxa"/>
            <w:shd w:val="clear" w:color="auto" w:fill="auto"/>
          </w:tcPr>
          <w:p w:rsidR="00DE13EE" w:rsidRPr="00CC381C" w:rsidRDefault="00DE13EE" w:rsidP="00CC381C">
            <w:pPr>
              <w:bidi w:val="0"/>
              <w:rPr>
                <w:rFonts w:cs="David"/>
              </w:rPr>
            </w:pPr>
            <w:r w:rsidRPr="00CC381C">
              <w:rPr>
                <w:rFonts w:cs="David"/>
              </w:rPr>
              <w:t>When partner opens 1NT, use Stayman-2C (not transfer) when you are 5-4 in majors (and 8+ points).</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13</w:t>
            </w:r>
          </w:p>
        </w:tc>
        <w:tc>
          <w:tcPr>
            <w:tcW w:w="10034" w:type="dxa"/>
            <w:shd w:val="clear" w:color="auto" w:fill="auto"/>
          </w:tcPr>
          <w:p w:rsidR="00DE13EE" w:rsidRPr="00CC381C" w:rsidRDefault="00DE13EE" w:rsidP="00CC381C">
            <w:pPr>
              <w:bidi w:val="0"/>
              <w:rPr>
                <w:rFonts w:cs="David"/>
              </w:rPr>
            </w:pPr>
            <w:r w:rsidRPr="00CC381C">
              <w:rPr>
                <w:rFonts w:cs="David"/>
              </w:rPr>
              <w:t>When partner opens INT, only use Stayman-2C with less than 8 points if you have a singleton or a void in clubs so you can pass whatever your partner says</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14</w:t>
            </w:r>
          </w:p>
        </w:tc>
        <w:tc>
          <w:tcPr>
            <w:tcW w:w="10034" w:type="dxa"/>
            <w:shd w:val="clear" w:color="auto" w:fill="auto"/>
          </w:tcPr>
          <w:p w:rsidR="00DE13EE" w:rsidRPr="00CC381C" w:rsidRDefault="00DE13EE" w:rsidP="00CC381C">
            <w:pPr>
              <w:bidi w:val="0"/>
              <w:rPr>
                <w:rFonts w:cs="David"/>
              </w:rPr>
            </w:pPr>
            <w:r w:rsidRPr="00CC381C">
              <w:rPr>
                <w:rFonts w:cs="David"/>
              </w:rPr>
              <w:t>If opponent overcalls 1D to your 1C opening, partner’s major suit bid shows 4. If opponent overcalls 1H to your 1C (or 1D) opening, partner’s spade suit bid shows 5. (Use negative double with 4).</w:t>
            </w:r>
          </w:p>
        </w:tc>
      </w:tr>
    </w:tbl>
    <w:p w:rsidR="00DE13EE" w:rsidRPr="009E51FB" w:rsidRDefault="00DE13EE" w:rsidP="00DE13EE">
      <w:pPr>
        <w:bidi w:val="0"/>
        <w:rPr>
          <w:rFonts w:cs="David"/>
          <w:b/>
          <w:bCs/>
        </w:rPr>
      </w:pPr>
    </w:p>
    <w:p w:rsidR="009E51FB" w:rsidRDefault="009E51FB" w:rsidP="009E51FB">
      <w:pPr>
        <w:bidi w:val="0"/>
        <w:rPr>
          <w:rFonts w:cs="David"/>
          <w:b/>
          <w:bCs/>
        </w:rPr>
      </w:pPr>
      <w:r w:rsidRPr="009E51FB">
        <w:rPr>
          <w:rFonts w:cs="David"/>
          <w:b/>
          <w:bCs/>
        </w:rPr>
        <w:t>Playing Guidelines</w:t>
      </w:r>
      <w:r>
        <w:rPr>
          <w:rFonts w:cs="David"/>
          <w:b/>
          <w:bCs/>
        </w:rPr>
        <w:t xml:space="preserve"> </w:t>
      </w:r>
      <w:r w:rsidRPr="009E51FB">
        <w:rPr>
          <w:rFonts w:cs="David"/>
          <w:b/>
          <w:bCs/>
        </w:rPr>
        <w:t>Defending</w:t>
      </w:r>
    </w:p>
    <w:tbl>
      <w:tblPr>
        <w:tblW w:w="10490" w:type="dxa"/>
        <w:tblInd w:w="-10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56"/>
        <w:gridCol w:w="10034"/>
      </w:tblGrid>
      <w:tr w:rsidR="00DE13EE" w:rsidRPr="00CC381C" w:rsidTr="00CC381C">
        <w:tc>
          <w:tcPr>
            <w:tcW w:w="456" w:type="dxa"/>
            <w:shd w:val="clear" w:color="auto" w:fill="auto"/>
            <w:vAlign w:val="center"/>
          </w:tcPr>
          <w:p w:rsidR="00DE13EE" w:rsidRPr="00CC381C" w:rsidRDefault="00DE13EE" w:rsidP="00CC381C">
            <w:pPr>
              <w:bidi w:val="0"/>
              <w:jc w:val="center"/>
              <w:rPr>
                <w:rFonts w:cs="David"/>
                <w:caps/>
              </w:rPr>
            </w:pPr>
            <w:r w:rsidRPr="00CC381C">
              <w:rPr>
                <w:rFonts w:cs="David"/>
                <w:caps/>
              </w:rPr>
              <w:t>1</w:t>
            </w:r>
          </w:p>
        </w:tc>
        <w:tc>
          <w:tcPr>
            <w:tcW w:w="10034" w:type="dxa"/>
            <w:shd w:val="clear" w:color="auto" w:fill="auto"/>
          </w:tcPr>
          <w:p w:rsidR="00DE13EE" w:rsidRPr="00CC381C" w:rsidRDefault="00DE13EE" w:rsidP="00CC381C">
            <w:pPr>
              <w:bidi w:val="0"/>
              <w:rPr>
                <w:rFonts w:cs="David"/>
                <w:caps/>
              </w:rPr>
            </w:pPr>
            <w:r w:rsidRPr="00CC381C">
              <w:rPr>
                <w:rFonts w:cs="David"/>
                <w:caps/>
              </w:rPr>
              <w:t>Don’t lead away from an A on the opening lead in a suit contract</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2</w:t>
            </w:r>
          </w:p>
        </w:tc>
        <w:tc>
          <w:tcPr>
            <w:tcW w:w="10034" w:type="dxa"/>
            <w:shd w:val="clear" w:color="auto" w:fill="auto"/>
          </w:tcPr>
          <w:p w:rsidR="00DE13EE" w:rsidRPr="00CC381C" w:rsidRDefault="00DE13EE" w:rsidP="00CC381C">
            <w:pPr>
              <w:bidi w:val="0"/>
              <w:rPr>
                <w:rFonts w:cs="David"/>
              </w:rPr>
            </w:pPr>
            <w:r w:rsidRPr="00CC381C">
              <w:rPr>
                <w:rFonts w:cs="David"/>
              </w:rPr>
              <w:t>Don’t lead an unsupported A behind declarer. (Sometimes you should lead away from the A if sitting in front of declarer—NOT the opening lead.)</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3</w:t>
            </w:r>
          </w:p>
        </w:tc>
        <w:tc>
          <w:tcPr>
            <w:tcW w:w="10034" w:type="dxa"/>
            <w:shd w:val="clear" w:color="auto" w:fill="auto"/>
          </w:tcPr>
          <w:p w:rsidR="00DE13EE" w:rsidRPr="00CC381C" w:rsidRDefault="00DE13EE" w:rsidP="00CC381C">
            <w:pPr>
              <w:bidi w:val="0"/>
              <w:rPr>
                <w:rFonts w:cs="David"/>
              </w:rPr>
            </w:pPr>
            <w:r w:rsidRPr="00CC381C">
              <w:rPr>
                <w:rFonts w:cs="David"/>
              </w:rPr>
              <w:t xml:space="preserve">Don’t lead A if sitting behind board, and you can see a supported K on the </w:t>
            </w:r>
            <w:proofErr w:type="gramStart"/>
            <w:r w:rsidRPr="00CC381C">
              <w:rPr>
                <w:rFonts w:cs="David"/>
              </w:rPr>
              <w:t>board.</w:t>
            </w:r>
            <w:proofErr w:type="gramEnd"/>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4</w:t>
            </w:r>
          </w:p>
        </w:tc>
        <w:tc>
          <w:tcPr>
            <w:tcW w:w="10034" w:type="dxa"/>
            <w:shd w:val="clear" w:color="auto" w:fill="auto"/>
          </w:tcPr>
          <w:p w:rsidR="00DE13EE" w:rsidRPr="00CC381C" w:rsidRDefault="00DE13EE" w:rsidP="00CC381C">
            <w:pPr>
              <w:bidi w:val="0"/>
              <w:rPr>
                <w:rFonts w:cs="David"/>
              </w:rPr>
            </w:pPr>
            <w:r w:rsidRPr="00CC381C">
              <w:rPr>
                <w:rFonts w:cs="David"/>
              </w:rPr>
              <w:t xml:space="preserve">Lead high from a doubleton. (not </w:t>
            </w:r>
            <w:proofErr w:type="spellStart"/>
            <w:r w:rsidRPr="00CC381C">
              <w:rPr>
                <w:rFonts w:cs="David"/>
              </w:rPr>
              <w:t>Kx</w:t>
            </w:r>
            <w:proofErr w:type="spellEnd"/>
            <w:r w:rsidRPr="00CC381C">
              <w:rPr>
                <w:rFonts w:cs="David"/>
              </w:rPr>
              <w:t xml:space="preserve"> or </w:t>
            </w:r>
            <w:proofErr w:type="spellStart"/>
            <w:r w:rsidRPr="00CC381C">
              <w:rPr>
                <w:rFonts w:cs="David"/>
              </w:rPr>
              <w:t>Qx</w:t>
            </w:r>
            <w:proofErr w:type="spellEnd"/>
            <w:r w:rsidRPr="00CC381C">
              <w:rPr>
                <w:rFonts w:cs="David"/>
              </w:rPr>
              <w:t xml:space="preserve"> unless partner bid suit)</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5</w:t>
            </w:r>
          </w:p>
        </w:tc>
        <w:tc>
          <w:tcPr>
            <w:tcW w:w="10034" w:type="dxa"/>
            <w:shd w:val="clear" w:color="auto" w:fill="auto"/>
          </w:tcPr>
          <w:p w:rsidR="00DE13EE" w:rsidRPr="00CC381C" w:rsidRDefault="00DE13EE" w:rsidP="00CC381C">
            <w:pPr>
              <w:bidi w:val="0"/>
              <w:rPr>
                <w:rFonts w:cs="David"/>
              </w:rPr>
            </w:pPr>
            <w:r w:rsidRPr="00CC381C">
              <w:rPr>
                <w:rFonts w:cs="David"/>
              </w:rPr>
              <w:t>Lead low if you have an honor (not a sequence) in the suit</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6</w:t>
            </w:r>
          </w:p>
        </w:tc>
        <w:tc>
          <w:tcPr>
            <w:tcW w:w="10034" w:type="dxa"/>
            <w:shd w:val="clear" w:color="auto" w:fill="auto"/>
          </w:tcPr>
          <w:p w:rsidR="00DE13EE" w:rsidRPr="00CC381C" w:rsidRDefault="00DE13EE" w:rsidP="00CC381C">
            <w:pPr>
              <w:bidi w:val="0"/>
              <w:rPr>
                <w:rFonts w:cs="David"/>
              </w:rPr>
            </w:pPr>
            <w:r w:rsidRPr="00CC381C">
              <w:rPr>
                <w:rFonts w:cs="David"/>
              </w:rPr>
              <w:t>Lead high from a sequence (not 4th best).</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7</w:t>
            </w:r>
          </w:p>
        </w:tc>
        <w:tc>
          <w:tcPr>
            <w:tcW w:w="10034" w:type="dxa"/>
            <w:shd w:val="clear" w:color="auto" w:fill="auto"/>
          </w:tcPr>
          <w:p w:rsidR="00DE13EE" w:rsidRPr="00CC381C" w:rsidRDefault="0077554A" w:rsidP="00CC381C">
            <w:pPr>
              <w:bidi w:val="0"/>
              <w:rPr>
                <w:rFonts w:cs="David"/>
              </w:rPr>
            </w:pPr>
            <w:r w:rsidRPr="00CC381C">
              <w:rPr>
                <w:rFonts w:cs="David"/>
              </w:rPr>
              <w:t>Switching suits often causes declarer to earn an extra trick</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8</w:t>
            </w:r>
          </w:p>
        </w:tc>
        <w:tc>
          <w:tcPr>
            <w:tcW w:w="10034" w:type="dxa"/>
            <w:shd w:val="clear" w:color="auto" w:fill="auto"/>
          </w:tcPr>
          <w:p w:rsidR="00DE13EE" w:rsidRPr="00CC381C" w:rsidRDefault="0077554A" w:rsidP="00CC381C">
            <w:pPr>
              <w:bidi w:val="0"/>
              <w:rPr>
                <w:rFonts w:cs="David"/>
              </w:rPr>
            </w:pPr>
            <w:r w:rsidRPr="00CC381C">
              <w:rPr>
                <w:rFonts w:cs="David"/>
              </w:rPr>
              <w:t>Lead through strength (not length).</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9</w:t>
            </w:r>
          </w:p>
        </w:tc>
        <w:tc>
          <w:tcPr>
            <w:tcW w:w="10034" w:type="dxa"/>
            <w:shd w:val="clear" w:color="auto" w:fill="auto"/>
          </w:tcPr>
          <w:p w:rsidR="00DE13EE" w:rsidRPr="00CC381C" w:rsidRDefault="0077554A" w:rsidP="00CC381C">
            <w:pPr>
              <w:bidi w:val="0"/>
              <w:rPr>
                <w:rFonts w:cs="David"/>
              </w:rPr>
            </w:pPr>
            <w:r w:rsidRPr="00CC381C">
              <w:rPr>
                <w:rFonts w:cs="David"/>
              </w:rPr>
              <w:t>Don’t lead singleton K or Q (unless partner’s suit).</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10</w:t>
            </w:r>
          </w:p>
        </w:tc>
        <w:tc>
          <w:tcPr>
            <w:tcW w:w="10034" w:type="dxa"/>
            <w:shd w:val="clear" w:color="auto" w:fill="auto"/>
          </w:tcPr>
          <w:p w:rsidR="00DE13EE" w:rsidRPr="00CC381C" w:rsidRDefault="0077554A" w:rsidP="00CC381C">
            <w:pPr>
              <w:bidi w:val="0"/>
              <w:rPr>
                <w:rFonts w:cs="David"/>
              </w:rPr>
            </w:pPr>
            <w:r w:rsidRPr="00CC381C">
              <w:rPr>
                <w:rFonts w:cs="David"/>
              </w:rPr>
              <w:t>Lead trumps if you can tell by the bidding that the declarer has shortness on the board. Or switch to a trump when you can if you see that after board goes down.</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11</w:t>
            </w:r>
          </w:p>
        </w:tc>
        <w:tc>
          <w:tcPr>
            <w:tcW w:w="10034" w:type="dxa"/>
            <w:shd w:val="clear" w:color="auto" w:fill="auto"/>
          </w:tcPr>
          <w:p w:rsidR="00DE13EE" w:rsidRPr="00CC381C" w:rsidRDefault="0077554A" w:rsidP="00CC381C">
            <w:pPr>
              <w:bidi w:val="0"/>
              <w:rPr>
                <w:rFonts w:cs="David"/>
              </w:rPr>
            </w:pPr>
            <w:r w:rsidRPr="00CC381C">
              <w:rPr>
                <w:rFonts w:cs="David"/>
              </w:rPr>
              <w:t>If you are long in trumps (with an honor), don’t lead your singleton. Lead your longest suit</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12</w:t>
            </w:r>
          </w:p>
        </w:tc>
        <w:tc>
          <w:tcPr>
            <w:tcW w:w="10034" w:type="dxa"/>
            <w:shd w:val="clear" w:color="auto" w:fill="auto"/>
          </w:tcPr>
          <w:p w:rsidR="00DE13EE" w:rsidRPr="00CC381C" w:rsidRDefault="0077554A" w:rsidP="00CC381C">
            <w:pPr>
              <w:bidi w:val="0"/>
              <w:rPr>
                <w:rFonts w:cs="David"/>
              </w:rPr>
            </w:pPr>
            <w:r w:rsidRPr="00CC381C">
              <w:rPr>
                <w:rFonts w:cs="David"/>
              </w:rPr>
              <w:t>If your partner leads a suit you like, tell him. Play a high card.</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13</w:t>
            </w:r>
          </w:p>
        </w:tc>
        <w:tc>
          <w:tcPr>
            <w:tcW w:w="10034" w:type="dxa"/>
            <w:shd w:val="clear" w:color="auto" w:fill="auto"/>
          </w:tcPr>
          <w:p w:rsidR="00DE13EE" w:rsidRPr="00CC381C" w:rsidRDefault="0077554A" w:rsidP="00CC381C">
            <w:pPr>
              <w:bidi w:val="0"/>
              <w:rPr>
                <w:rFonts w:cs="David"/>
              </w:rPr>
            </w:pPr>
            <w:r w:rsidRPr="00CC381C">
              <w:rPr>
                <w:rFonts w:cs="David"/>
              </w:rPr>
              <w:t>Cover an honor with an honor, unless you are behind the board and see touching honors on the board. (Cover second honor instead.)</w:t>
            </w:r>
          </w:p>
        </w:tc>
      </w:tr>
      <w:tr w:rsidR="00DE13EE" w:rsidRPr="00CC381C" w:rsidTr="00CC381C">
        <w:tc>
          <w:tcPr>
            <w:tcW w:w="456" w:type="dxa"/>
            <w:shd w:val="clear" w:color="auto" w:fill="auto"/>
            <w:vAlign w:val="center"/>
          </w:tcPr>
          <w:p w:rsidR="00DE13EE" w:rsidRPr="00CC381C" w:rsidRDefault="00DE13EE" w:rsidP="00CC381C">
            <w:pPr>
              <w:bidi w:val="0"/>
              <w:jc w:val="center"/>
              <w:rPr>
                <w:rFonts w:cs="David"/>
              </w:rPr>
            </w:pPr>
            <w:r w:rsidRPr="00CC381C">
              <w:rPr>
                <w:rFonts w:cs="David"/>
              </w:rPr>
              <w:t>14</w:t>
            </w:r>
          </w:p>
        </w:tc>
        <w:tc>
          <w:tcPr>
            <w:tcW w:w="10034" w:type="dxa"/>
            <w:shd w:val="clear" w:color="auto" w:fill="auto"/>
          </w:tcPr>
          <w:p w:rsidR="00DE13EE" w:rsidRPr="00CC381C" w:rsidRDefault="0077554A" w:rsidP="00CC381C">
            <w:pPr>
              <w:bidi w:val="0"/>
              <w:rPr>
                <w:rFonts w:cs="David"/>
              </w:rPr>
            </w:pPr>
            <w:r w:rsidRPr="00CC381C">
              <w:rPr>
                <w:rFonts w:cs="David"/>
              </w:rPr>
              <w:t xml:space="preserve">Second man low unless you must split your honors to force one honor (not 2). Rarely play </w:t>
            </w:r>
            <w:proofErr w:type="gramStart"/>
            <w:r w:rsidRPr="00CC381C">
              <w:rPr>
                <w:rFonts w:cs="David"/>
              </w:rPr>
              <w:t>A</w:t>
            </w:r>
            <w:proofErr w:type="gramEnd"/>
            <w:r w:rsidRPr="00CC381C">
              <w:rPr>
                <w:rFonts w:cs="David"/>
              </w:rPr>
              <w:t xml:space="preserve"> in second seat if low card is led (even if you can see the K or KQ on the board).</w:t>
            </w:r>
          </w:p>
        </w:tc>
      </w:tr>
      <w:tr w:rsidR="00DE13EE" w:rsidRPr="00CC381C" w:rsidTr="00CC381C">
        <w:tc>
          <w:tcPr>
            <w:tcW w:w="456" w:type="dxa"/>
            <w:shd w:val="clear" w:color="auto" w:fill="auto"/>
            <w:vAlign w:val="center"/>
          </w:tcPr>
          <w:p w:rsidR="00DE13EE" w:rsidRPr="00CC381C" w:rsidRDefault="0077554A" w:rsidP="00CC381C">
            <w:pPr>
              <w:bidi w:val="0"/>
              <w:jc w:val="center"/>
              <w:rPr>
                <w:rFonts w:cs="David" w:hint="cs"/>
                <w:rtl/>
              </w:rPr>
            </w:pPr>
            <w:r w:rsidRPr="00CC381C">
              <w:rPr>
                <w:rFonts w:cs="David" w:hint="cs"/>
                <w:rtl/>
              </w:rPr>
              <w:t>15</w:t>
            </w:r>
          </w:p>
        </w:tc>
        <w:tc>
          <w:tcPr>
            <w:tcW w:w="10034" w:type="dxa"/>
            <w:shd w:val="clear" w:color="auto" w:fill="auto"/>
          </w:tcPr>
          <w:p w:rsidR="00DE13EE" w:rsidRPr="00CC381C" w:rsidRDefault="0077554A" w:rsidP="00CC381C">
            <w:pPr>
              <w:bidi w:val="0"/>
              <w:rPr>
                <w:rFonts w:cs="David"/>
              </w:rPr>
            </w:pPr>
            <w:r w:rsidRPr="00CC381C">
              <w:rPr>
                <w:rFonts w:cs="David"/>
              </w:rPr>
              <w:t>Third man high—not highest. If holding AKQ in third seat, play Q to take trick and return A.</w:t>
            </w:r>
          </w:p>
        </w:tc>
      </w:tr>
      <w:tr w:rsidR="00DE13EE" w:rsidRPr="00CC381C" w:rsidTr="00CC381C">
        <w:tc>
          <w:tcPr>
            <w:tcW w:w="456" w:type="dxa"/>
            <w:shd w:val="clear" w:color="auto" w:fill="auto"/>
            <w:vAlign w:val="center"/>
          </w:tcPr>
          <w:p w:rsidR="00DE13EE" w:rsidRPr="00CC381C" w:rsidRDefault="0077554A" w:rsidP="00CC381C">
            <w:pPr>
              <w:bidi w:val="0"/>
              <w:jc w:val="center"/>
              <w:rPr>
                <w:rFonts w:cs="David"/>
              </w:rPr>
            </w:pPr>
            <w:r w:rsidRPr="00CC381C">
              <w:rPr>
                <w:rFonts w:cs="David"/>
              </w:rPr>
              <w:t>16</w:t>
            </w:r>
          </w:p>
        </w:tc>
        <w:tc>
          <w:tcPr>
            <w:tcW w:w="10034" w:type="dxa"/>
            <w:shd w:val="clear" w:color="auto" w:fill="auto"/>
          </w:tcPr>
          <w:p w:rsidR="00DE13EE" w:rsidRPr="00CC381C" w:rsidRDefault="0077554A" w:rsidP="00CC381C">
            <w:pPr>
              <w:bidi w:val="0"/>
              <w:rPr>
                <w:rFonts w:cs="David"/>
              </w:rPr>
            </w:pPr>
            <w:r w:rsidRPr="00CC381C">
              <w:rPr>
                <w:rFonts w:cs="David"/>
              </w:rPr>
              <w:t>Try to get declarer to ruff where the trumps are longest (usually his hand) to shorten his trumps.</w:t>
            </w:r>
          </w:p>
        </w:tc>
      </w:tr>
    </w:tbl>
    <w:p w:rsidR="00EB42EF" w:rsidRDefault="00EB42EF" w:rsidP="009E51FB">
      <w:pPr>
        <w:bidi w:val="0"/>
        <w:rPr>
          <w:rFonts w:cs="David"/>
          <w:b/>
          <w:bCs/>
        </w:rPr>
      </w:pPr>
    </w:p>
    <w:p w:rsidR="009E51FB" w:rsidRDefault="009E51FB" w:rsidP="00EB42EF">
      <w:pPr>
        <w:bidi w:val="0"/>
        <w:rPr>
          <w:rFonts w:cs="David"/>
          <w:b/>
          <w:bCs/>
        </w:rPr>
      </w:pPr>
      <w:r w:rsidRPr="009E51FB">
        <w:rPr>
          <w:rFonts w:cs="David"/>
          <w:b/>
          <w:bCs/>
        </w:rPr>
        <w:t>Declaring</w:t>
      </w:r>
    </w:p>
    <w:tbl>
      <w:tblPr>
        <w:tblW w:w="10490" w:type="dxa"/>
        <w:tblInd w:w="-10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25"/>
        <w:gridCol w:w="10065"/>
      </w:tblGrid>
      <w:tr w:rsidR="0077554A" w:rsidRPr="00CC381C" w:rsidTr="00CC381C">
        <w:tc>
          <w:tcPr>
            <w:tcW w:w="425" w:type="dxa"/>
            <w:shd w:val="clear" w:color="auto" w:fill="auto"/>
            <w:vAlign w:val="center"/>
          </w:tcPr>
          <w:p w:rsidR="0077554A" w:rsidRPr="00CC381C" w:rsidRDefault="0077554A" w:rsidP="00CC381C">
            <w:pPr>
              <w:bidi w:val="0"/>
              <w:jc w:val="center"/>
              <w:rPr>
                <w:rFonts w:cs="David"/>
                <w:caps/>
              </w:rPr>
            </w:pPr>
            <w:r w:rsidRPr="00CC381C">
              <w:rPr>
                <w:rFonts w:cs="David"/>
                <w:caps/>
              </w:rPr>
              <w:t>1</w:t>
            </w:r>
          </w:p>
        </w:tc>
        <w:tc>
          <w:tcPr>
            <w:tcW w:w="10065" w:type="dxa"/>
            <w:shd w:val="clear" w:color="auto" w:fill="auto"/>
          </w:tcPr>
          <w:p w:rsidR="0077554A" w:rsidRPr="00CC381C" w:rsidRDefault="00107BB5" w:rsidP="00CC381C">
            <w:pPr>
              <w:bidi w:val="0"/>
              <w:rPr>
                <w:rFonts w:cs="David"/>
                <w:caps/>
              </w:rPr>
            </w:pPr>
            <w:r w:rsidRPr="00CC381C">
              <w:rPr>
                <w:rFonts w:cs="David"/>
              </w:rPr>
              <w:t>In NT, don’t take tricks, establish tricks. Play your longest suit before stoppers are gone in other suits</w:t>
            </w:r>
          </w:p>
        </w:tc>
      </w:tr>
      <w:tr w:rsidR="0077554A" w:rsidRPr="00CC381C" w:rsidTr="00CC381C">
        <w:tc>
          <w:tcPr>
            <w:tcW w:w="425" w:type="dxa"/>
            <w:shd w:val="clear" w:color="auto" w:fill="auto"/>
            <w:vAlign w:val="center"/>
          </w:tcPr>
          <w:p w:rsidR="0077554A" w:rsidRPr="00CC381C" w:rsidRDefault="0077554A" w:rsidP="00CC381C">
            <w:pPr>
              <w:bidi w:val="0"/>
              <w:jc w:val="center"/>
              <w:rPr>
                <w:rFonts w:cs="David"/>
              </w:rPr>
            </w:pPr>
            <w:r w:rsidRPr="00CC381C">
              <w:rPr>
                <w:rFonts w:cs="David"/>
              </w:rPr>
              <w:t>2</w:t>
            </w:r>
          </w:p>
        </w:tc>
        <w:tc>
          <w:tcPr>
            <w:tcW w:w="10065" w:type="dxa"/>
            <w:shd w:val="clear" w:color="auto" w:fill="auto"/>
          </w:tcPr>
          <w:p w:rsidR="0077554A" w:rsidRPr="00CC381C" w:rsidRDefault="00107BB5" w:rsidP="00CC381C">
            <w:pPr>
              <w:bidi w:val="0"/>
              <w:rPr>
                <w:rFonts w:cs="David"/>
              </w:rPr>
            </w:pPr>
            <w:r w:rsidRPr="00CC381C">
              <w:rPr>
                <w:rFonts w:cs="David"/>
              </w:rPr>
              <w:t xml:space="preserve">Try </w:t>
            </w:r>
            <w:r w:rsidRPr="00CC381C">
              <w:rPr>
                <w:rFonts w:cs="David"/>
                <w:b/>
                <w:bCs/>
              </w:rPr>
              <w:t xml:space="preserve">not </w:t>
            </w:r>
            <w:r w:rsidRPr="00CC381C">
              <w:rPr>
                <w:rFonts w:cs="David"/>
              </w:rPr>
              <w:t>to ruff using your trumps where they are longest if you need them to get the opponents’ trumps out</w:t>
            </w:r>
          </w:p>
        </w:tc>
      </w:tr>
      <w:tr w:rsidR="0077554A" w:rsidRPr="00CC381C" w:rsidTr="00CC381C">
        <w:tc>
          <w:tcPr>
            <w:tcW w:w="425" w:type="dxa"/>
            <w:shd w:val="clear" w:color="auto" w:fill="auto"/>
            <w:vAlign w:val="center"/>
          </w:tcPr>
          <w:p w:rsidR="0077554A" w:rsidRPr="00CC381C" w:rsidRDefault="0077554A" w:rsidP="00CC381C">
            <w:pPr>
              <w:bidi w:val="0"/>
              <w:jc w:val="center"/>
              <w:rPr>
                <w:rFonts w:cs="David"/>
              </w:rPr>
            </w:pPr>
            <w:r w:rsidRPr="00CC381C">
              <w:rPr>
                <w:rFonts w:cs="David"/>
              </w:rPr>
              <w:t>3</w:t>
            </w:r>
          </w:p>
        </w:tc>
        <w:tc>
          <w:tcPr>
            <w:tcW w:w="10065" w:type="dxa"/>
            <w:shd w:val="clear" w:color="auto" w:fill="auto"/>
          </w:tcPr>
          <w:p w:rsidR="0077554A" w:rsidRPr="00CC381C" w:rsidRDefault="00107BB5" w:rsidP="00CC381C">
            <w:pPr>
              <w:bidi w:val="0"/>
              <w:rPr>
                <w:rFonts w:cs="David"/>
              </w:rPr>
            </w:pPr>
            <w:r w:rsidRPr="00CC381C">
              <w:rPr>
                <w:rFonts w:cs="David"/>
              </w:rPr>
              <w:t>Ruff where your trumps are shortest. Use your long trumps to take out opponents’ trumps.</w:t>
            </w:r>
          </w:p>
        </w:tc>
      </w:tr>
      <w:tr w:rsidR="0077554A" w:rsidRPr="00CC381C" w:rsidTr="00CC381C">
        <w:tc>
          <w:tcPr>
            <w:tcW w:w="425" w:type="dxa"/>
            <w:shd w:val="clear" w:color="auto" w:fill="auto"/>
            <w:vAlign w:val="center"/>
          </w:tcPr>
          <w:p w:rsidR="0077554A" w:rsidRPr="00CC381C" w:rsidRDefault="0077554A" w:rsidP="00CC381C">
            <w:pPr>
              <w:bidi w:val="0"/>
              <w:jc w:val="center"/>
              <w:rPr>
                <w:rFonts w:cs="David"/>
              </w:rPr>
            </w:pPr>
            <w:r w:rsidRPr="00CC381C">
              <w:rPr>
                <w:rFonts w:cs="David"/>
              </w:rPr>
              <w:t>4</w:t>
            </w:r>
          </w:p>
        </w:tc>
        <w:tc>
          <w:tcPr>
            <w:tcW w:w="10065" w:type="dxa"/>
            <w:shd w:val="clear" w:color="auto" w:fill="auto"/>
          </w:tcPr>
          <w:p w:rsidR="0077554A" w:rsidRPr="00CC381C" w:rsidRDefault="00107BB5" w:rsidP="00CC381C">
            <w:pPr>
              <w:bidi w:val="0"/>
              <w:rPr>
                <w:rFonts w:cs="David"/>
              </w:rPr>
            </w:pPr>
            <w:r w:rsidRPr="00CC381C">
              <w:rPr>
                <w:rFonts w:cs="David"/>
              </w:rPr>
              <w:t>Don’t take out trumps if you need to ruff a card on the board before first.</w:t>
            </w:r>
          </w:p>
        </w:tc>
      </w:tr>
      <w:tr w:rsidR="0077554A" w:rsidRPr="00CC381C" w:rsidTr="00CC381C">
        <w:tc>
          <w:tcPr>
            <w:tcW w:w="425" w:type="dxa"/>
            <w:shd w:val="clear" w:color="auto" w:fill="auto"/>
            <w:vAlign w:val="center"/>
          </w:tcPr>
          <w:p w:rsidR="0077554A" w:rsidRPr="00CC381C" w:rsidRDefault="0077554A" w:rsidP="00CC381C">
            <w:pPr>
              <w:bidi w:val="0"/>
              <w:jc w:val="center"/>
              <w:rPr>
                <w:rFonts w:cs="David"/>
              </w:rPr>
            </w:pPr>
            <w:r w:rsidRPr="00CC381C">
              <w:rPr>
                <w:rFonts w:cs="David"/>
              </w:rPr>
              <w:t>5</w:t>
            </w:r>
          </w:p>
        </w:tc>
        <w:tc>
          <w:tcPr>
            <w:tcW w:w="10065" w:type="dxa"/>
            <w:shd w:val="clear" w:color="auto" w:fill="auto"/>
          </w:tcPr>
          <w:p w:rsidR="0077554A" w:rsidRPr="00CC381C" w:rsidRDefault="00107BB5" w:rsidP="00CC381C">
            <w:pPr>
              <w:bidi w:val="0"/>
              <w:rPr>
                <w:rFonts w:cs="David"/>
              </w:rPr>
            </w:pPr>
            <w:r w:rsidRPr="00CC381C">
              <w:rPr>
                <w:rFonts w:cs="David"/>
              </w:rPr>
              <w:t>If you have (different) singletons in your hand and the board, use the trumps to cross-ruff. Take side winners before starting the cross-ruff.</w:t>
            </w:r>
          </w:p>
        </w:tc>
      </w:tr>
    </w:tbl>
    <w:p w:rsidR="00EB42EF" w:rsidRDefault="00EB42EF" w:rsidP="00EB42EF">
      <w:pPr>
        <w:rPr>
          <w:rFonts w:cs="David" w:hint="cs"/>
          <w:rtl/>
        </w:rPr>
      </w:pPr>
      <w:r>
        <w:rPr>
          <w:rFonts w:cs="David" w:hint="cs"/>
          <w:rtl/>
        </w:rPr>
        <w:t xml:space="preserve">מקור: </w:t>
      </w:r>
      <w:proofErr w:type="spellStart"/>
      <w:r>
        <w:rPr>
          <w:rFonts w:cs="David"/>
        </w:rPr>
        <w:t>Richmondbridge</w:t>
      </w:r>
      <w:proofErr w:type="spellEnd"/>
      <w:r>
        <w:rPr>
          <w:rFonts w:cs="David" w:hint="cs"/>
          <w:rtl/>
        </w:rPr>
        <w:t xml:space="preserve">   </w:t>
      </w:r>
    </w:p>
    <w:p w:rsidR="0077554A" w:rsidRPr="009E51FB" w:rsidRDefault="00EB42EF" w:rsidP="009B4723">
      <w:pPr>
        <w:bidi w:val="0"/>
        <w:rPr>
          <w:rFonts w:cs="David"/>
          <w:b/>
          <w:bCs/>
        </w:rPr>
      </w:pPr>
      <w:r>
        <w:t>Editing rights and more</w:t>
      </w:r>
      <w:r>
        <w:rPr>
          <w:rFonts w:cs="David" w:hint="cs"/>
          <w:rtl/>
        </w:rPr>
        <w:t xml:space="preserve">© </w:t>
      </w:r>
      <w:r>
        <w:t>Copyright Gabi Levy-201</w:t>
      </w:r>
      <w:r w:rsidR="009B4723">
        <w:t>3</w:t>
      </w:r>
    </w:p>
    <w:sectPr w:rsidR="0077554A" w:rsidRPr="009E51FB" w:rsidSect="00EB42EF">
      <w:pgSz w:w="11906" w:h="16838"/>
      <w:pgMar w:top="1247" w:right="1797" w:bottom="964" w:left="175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34CC5"/>
    <w:rsid w:val="000D25A9"/>
    <w:rsid w:val="000E02E7"/>
    <w:rsid w:val="00107BB5"/>
    <w:rsid w:val="00164E55"/>
    <w:rsid w:val="00195BFA"/>
    <w:rsid w:val="0019770F"/>
    <w:rsid w:val="00224431"/>
    <w:rsid w:val="002C64CA"/>
    <w:rsid w:val="00496BF9"/>
    <w:rsid w:val="0058463E"/>
    <w:rsid w:val="005B388D"/>
    <w:rsid w:val="00603487"/>
    <w:rsid w:val="00610D87"/>
    <w:rsid w:val="006D1C04"/>
    <w:rsid w:val="0077554A"/>
    <w:rsid w:val="007E47E9"/>
    <w:rsid w:val="008272D8"/>
    <w:rsid w:val="0086585E"/>
    <w:rsid w:val="0096238B"/>
    <w:rsid w:val="00997290"/>
    <w:rsid w:val="009B4723"/>
    <w:rsid w:val="009E51FB"/>
    <w:rsid w:val="00A15FE8"/>
    <w:rsid w:val="00A62053"/>
    <w:rsid w:val="00AE4CDD"/>
    <w:rsid w:val="00B12961"/>
    <w:rsid w:val="00B60BAC"/>
    <w:rsid w:val="00B61321"/>
    <w:rsid w:val="00CC381C"/>
    <w:rsid w:val="00DE13EE"/>
    <w:rsid w:val="00EB42EF"/>
    <w:rsid w:val="00F2360F"/>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392430822">
      <w:bodyDiv w:val="1"/>
      <w:marLeft w:val="0"/>
      <w:marRight w:val="0"/>
      <w:marTop w:val="0"/>
      <w:marBottom w:val="0"/>
      <w:divBdr>
        <w:top w:val="none" w:sz="0" w:space="0" w:color="auto"/>
        <w:left w:val="none" w:sz="0" w:space="0" w:color="auto"/>
        <w:bottom w:val="none" w:sz="0" w:space="0" w:color="auto"/>
        <w:right w:val="none" w:sz="0" w:space="0" w:color="auto"/>
      </w:divBdr>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6CB1-F647-409C-BC82-C60255A1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578</Words>
  <Characters>2893</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Levy Family</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2013-11-12T18:17:00Z</dcterms:created>
  <dcterms:modified xsi:type="dcterms:W3CDTF">2013-11-12T18:17:00Z</dcterms:modified>
</cp:coreProperties>
</file>