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CB" w:rsidRPr="00C025D9" w:rsidRDefault="00C025D9" w:rsidP="00C025D9">
      <w:pPr>
        <w:jc w:val="center"/>
        <w:rPr>
          <w:rFonts w:cs="David"/>
          <w:b/>
          <w:bCs/>
          <w:u w:val="single"/>
          <w:rtl/>
        </w:rPr>
      </w:pPr>
      <w:r w:rsidRPr="00C025D9">
        <w:rPr>
          <w:rFonts w:cs="David" w:hint="cs"/>
          <w:b/>
          <w:bCs/>
          <w:u w:val="single"/>
          <w:rtl/>
        </w:rPr>
        <w:t>העוצרים והקונבנציות</w:t>
      </w:r>
    </w:p>
    <w:p w:rsidR="00C025D9" w:rsidRDefault="00C025D9">
      <w:pPr>
        <w:rPr>
          <w:rFonts w:cs="David"/>
          <w:rtl/>
        </w:rPr>
      </w:pPr>
    </w:p>
    <w:p w:rsidR="00C025D9" w:rsidRDefault="00C025D9" w:rsidP="00C025D9">
      <w:pPr>
        <w:rPr>
          <w:rFonts w:cs="David"/>
          <w:rtl/>
        </w:rPr>
      </w:pPr>
    </w:p>
    <w:tbl>
      <w:tblPr>
        <w:bidiVisual/>
        <w:tblW w:w="10774" w:type="dxa"/>
        <w:tblInd w:w="-10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134"/>
        <w:gridCol w:w="2410"/>
        <w:gridCol w:w="2268"/>
        <w:gridCol w:w="1985"/>
        <w:gridCol w:w="2977"/>
      </w:tblGrid>
      <w:tr w:rsidR="00C025D9" w:rsidRPr="00EE1EE1" w:rsidTr="00867304">
        <w:trPr>
          <w:trHeight w:val="909"/>
        </w:trPr>
        <w:tc>
          <w:tcPr>
            <w:tcW w:w="1134" w:type="dxa"/>
            <w:vAlign w:val="center"/>
          </w:tcPr>
          <w:p w:rsidR="00C025D9" w:rsidRPr="000856EA" w:rsidRDefault="00C025D9" w:rsidP="00867304">
            <w:pPr>
              <w:rPr>
                <w:rFonts w:cs="David"/>
                <w:rtl/>
              </w:rPr>
            </w:pPr>
            <w:r w:rsidRPr="000856EA">
              <w:rPr>
                <w:rFonts w:cs="David"/>
              </w:rPr>
              <w:t>Trial bid</w:t>
            </w:r>
            <w:r w:rsidRPr="000856EA">
              <w:rPr>
                <w:rFonts w:cs="David" w:hint="cs"/>
                <w:rtl/>
              </w:rPr>
              <w:t xml:space="preserve"> של המשיב</w:t>
            </w:r>
          </w:p>
        </w:tc>
        <w:tc>
          <w:tcPr>
            <w:tcW w:w="2410" w:type="dxa"/>
          </w:tcPr>
          <w:p w:rsidR="00C025D9" w:rsidRDefault="00C025D9" w:rsidP="00867304">
            <w:pPr>
              <w:jc w:val="both"/>
              <w:rPr>
                <w:rFonts w:cs="David"/>
                <w:rtl/>
              </w:rPr>
            </w:pPr>
            <w:r w:rsidRPr="000856EA">
              <w:rPr>
                <w:rFonts w:cs="David" w:hint="cs"/>
                <w:rtl/>
              </w:rPr>
              <w:t>הכרזה מחייבת, מראה קוצר או עוצר בסדרה זו וחוזק כללי של היד, ומבקשת מהשותף הבהרה נוספת של היד, במטרה להגיע למשחק מלא</w:t>
            </w:r>
          </w:p>
        </w:tc>
        <w:tc>
          <w:tcPr>
            <w:tcW w:w="2268" w:type="dxa"/>
            <w:shd w:val="clear" w:color="auto" w:fill="auto"/>
          </w:tcPr>
          <w:p w:rsidR="00C025D9" w:rsidRPr="00EE1EE1" w:rsidRDefault="00C025D9" w:rsidP="00867304">
            <w:pPr>
              <w:jc w:val="both"/>
              <w:rPr>
                <w:rFonts w:cs="David"/>
                <w:rtl/>
              </w:rPr>
            </w:pPr>
            <w:r>
              <w:rPr>
                <w:rFonts w:cs="David" w:hint="cs"/>
                <w:rtl/>
              </w:rPr>
              <w:t>המשיב יכול להשתמש בהכרזת ניסיון בכל פעם שבוצעה תמיכה ב-</w:t>
            </w:r>
            <w:r>
              <w:rPr>
                <w:rFonts w:cs="David"/>
              </w:rPr>
              <w:t>Major</w:t>
            </w:r>
            <w:r>
              <w:rPr>
                <w:rFonts w:cs="David" w:hint="cs"/>
                <w:rtl/>
              </w:rPr>
              <w:t xml:space="preserve"> מצד הפותח בגובה 2. המשיב מתעלם מהכרזתו הראשונה של הפותח.</w:t>
            </w:r>
          </w:p>
        </w:tc>
        <w:tc>
          <w:tcPr>
            <w:tcW w:w="1985" w:type="dxa"/>
            <w:shd w:val="clear" w:color="auto" w:fill="auto"/>
          </w:tcPr>
          <w:p w:rsidR="00C025D9" w:rsidRPr="00B02054" w:rsidRDefault="00C025D9" w:rsidP="00867304">
            <w:pPr>
              <w:jc w:val="both"/>
              <w:rPr>
                <w:rFonts w:cs="David"/>
                <w:rtl/>
              </w:rPr>
            </w:pPr>
            <w:r>
              <w:rPr>
                <w:rFonts w:cs="David" w:hint="cs"/>
                <w:rtl/>
              </w:rPr>
              <w:t xml:space="preserve">למשיב 11-12 </w:t>
            </w:r>
            <w:proofErr w:type="spellStart"/>
            <w:r>
              <w:rPr>
                <w:rFonts w:cs="David" w:hint="cs"/>
                <w:rtl/>
              </w:rPr>
              <w:t>נק</w:t>
            </w:r>
            <w:proofErr w:type="spellEnd"/>
            <w:r>
              <w:rPr>
                <w:rFonts w:cs="David" w:hint="cs"/>
                <w:rtl/>
              </w:rPr>
              <w:t xml:space="preserve">' (כולל </w:t>
            </w:r>
            <w:proofErr w:type="spellStart"/>
            <w:r>
              <w:rPr>
                <w:rFonts w:cs="David" w:hint="cs"/>
                <w:rtl/>
              </w:rPr>
              <w:t>נק</w:t>
            </w:r>
            <w:proofErr w:type="spellEnd"/>
            <w:r>
              <w:rPr>
                <w:rFonts w:cs="David" w:hint="cs"/>
                <w:rtl/>
              </w:rPr>
              <w:t xml:space="preserve">' חלוקה) מול 12-14 </w:t>
            </w:r>
            <w:proofErr w:type="spellStart"/>
            <w:r>
              <w:rPr>
                <w:rFonts w:cs="David" w:hint="cs"/>
                <w:rtl/>
              </w:rPr>
              <w:t>נק</w:t>
            </w:r>
            <w:proofErr w:type="spellEnd"/>
            <w:r>
              <w:rPr>
                <w:rFonts w:cs="David" w:hint="cs"/>
                <w:rtl/>
              </w:rPr>
              <w:t>' של הפותח. מכריז הכרזת ניסיון בסדרה שיש לו בממוצע 3 מפסידים</w:t>
            </w:r>
          </w:p>
        </w:tc>
        <w:tc>
          <w:tcPr>
            <w:tcW w:w="2977" w:type="dxa"/>
            <w:shd w:val="clear" w:color="auto" w:fill="auto"/>
          </w:tcPr>
          <w:p w:rsidR="00C025D9" w:rsidRPr="00EE1EE1" w:rsidRDefault="00C025D9" w:rsidP="00867304">
            <w:pPr>
              <w:rPr>
                <w:rFonts w:cs="David"/>
                <w:rtl/>
              </w:rPr>
            </w:pPr>
            <w:r>
              <w:rPr>
                <w:rFonts w:cs="David" w:hint="cs"/>
                <w:rtl/>
              </w:rPr>
              <w:t xml:space="preserve">הפותח </w:t>
            </w:r>
            <w:r w:rsidRPr="00B02054">
              <w:rPr>
                <w:rFonts w:cs="David" w:hint="cs"/>
                <w:rtl/>
              </w:rPr>
              <w:t>יקבל את ההזמנה למשחק מלא בכל פעם שבסדרת ה-</w:t>
            </w:r>
            <w:r w:rsidRPr="00B02054">
              <w:rPr>
                <w:rFonts w:cs="David" w:hint="cs"/>
                <w:b/>
                <w:bCs/>
                <w:rtl/>
              </w:rPr>
              <w:t xml:space="preserve"> </w:t>
            </w:r>
            <w:r w:rsidRPr="00B02054">
              <w:rPr>
                <w:rFonts w:cs="David"/>
              </w:rPr>
              <w:t>Trial Bid</w:t>
            </w:r>
            <w:r w:rsidRPr="00B02054">
              <w:rPr>
                <w:rFonts w:cs="David" w:hint="cs"/>
                <w:rtl/>
              </w:rPr>
              <w:t xml:space="preserve"> יש לו: </w:t>
            </w:r>
            <w:r w:rsidRPr="00B02054">
              <w:rPr>
                <w:rFonts w:cs="David" w:hint="cs"/>
              </w:rPr>
              <w:t>A</w:t>
            </w:r>
            <w:r w:rsidRPr="00B02054">
              <w:rPr>
                <w:rFonts w:cs="David" w:hint="cs"/>
                <w:rtl/>
              </w:rPr>
              <w:t xml:space="preserve"> (ללא קשר למספר הקלפים בסדרה),  </w:t>
            </w:r>
            <w:proofErr w:type="spellStart"/>
            <w:r w:rsidRPr="00B02054">
              <w:rPr>
                <w:rFonts w:cs="David"/>
              </w:rPr>
              <w:t>Kx</w:t>
            </w:r>
            <w:proofErr w:type="spellEnd"/>
            <w:r w:rsidRPr="00B02054">
              <w:rPr>
                <w:rFonts w:cs="David" w:hint="cs"/>
                <w:rtl/>
              </w:rPr>
              <w:t>, רצף של כל ש</w:t>
            </w:r>
            <w:r>
              <w:rPr>
                <w:rFonts w:cs="David" w:hint="cs"/>
                <w:rtl/>
              </w:rPr>
              <w:t>נ</w:t>
            </w:r>
            <w:r w:rsidRPr="00B02054">
              <w:rPr>
                <w:rFonts w:cs="David" w:hint="cs"/>
                <w:rtl/>
              </w:rPr>
              <w:t xml:space="preserve">י </w:t>
            </w:r>
            <w:r>
              <w:rPr>
                <w:rFonts w:cs="David" w:hint="cs"/>
                <w:rtl/>
              </w:rPr>
              <w:t>מכובדים</w:t>
            </w:r>
            <w:r w:rsidRPr="00B02054">
              <w:rPr>
                <w:rFonts w:cs="David" w:hint="cs"/>
                <w:rtl/>
              </w:rPr>
              <w:t xml:space="preserve">, </w:t>
            </w:r>
            <w:r>
              <w:rPr>
                <w:rFonts w:cs="David"/>
              </w:rPr>
              <w:t>Singleton</w:t>
            </w:r>
            <w:r w:rsidRPr="00B02054">
              <w:rPr>
                <w:rFonts w:cs="David" w:hint="cs"/>
                <w:rtl/>
              </w:rPr>
              <w:t xml:space="preserve">, או </w:t>
            </w:r>
            <w:r w:rsidRPr="00B02054">
              <w:rPr>
                <w:rFonts w:cs="David"/>
              </w:rPr>
              <w:t>Void</w:t>
            </w:r>
          </w:p>
        </w:tc>
      </w:tr>
    </w:tbl>
    <w:p w:rsidR="00C025D9" w:rsidRDefault="00C025D9" w:rsidP="00C025D9">
      <w:pPr>
        <w:rPr>
          <w:rFonts w:cs="David"/>
          <w:rtl/>
        </w:rPr>
      </w:pPr>
    </w:p>
    <w:tbl>
      <w:tblPr>
        <w:bidiVisual/>
        <w:tblW w:w="10774" w:type="dxa"/>
        <w:tblInd w:w="-10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704"/>
        <w:gridCol w:w="9070"/>
      </w:tblGrid>
      <w:tr w:rsidR="00C025D9" w:rsidTr="00867304">
        <w:trPr>
          <w:trHeight w:val="240"/>
        </w:trPr>
        <w:tc>
          <w:tcPr>
            <w:tcW w:w="1704" w:type="dxa"/>
            <w:vMerge w:val="restart"/>
            <w:shd w:val="clear" w:color="auto" w:fill="auto"/>
          </w:tcPr>
          <w:p w:rsidR="00C025D9" w:rsidRDefault="00C025D9" w:rsidP="00867304">
            <w:pPr>
              <w:jc w:val="center"/>
              <w:rPr>
                <w:rFonts w:cs="David"/>
                <w:rtl/>
              </w:rPr>
            </w:pPr>
          </w:p>
          <w:p w:rsidR="00C025D9" w:rsidRDefault="00C025D9" w:rsidP="00867304">
            <w:pPr>
              <w:jc w:val="center"/>
              <w:rPr>
                <w:rFonts w:cs="David"/>
                <w:rtl/>
              </w:rPr>
            </w:pPr>
          </w:p>
          <w:p w:rsidR="00C025D9" w:rsidRDefault="00C025D9" w:rsidP="00867304">
            <w:pPr>
              <w:jc w:val="center"/>
              <w:rPr>
                <w:rFonts w:cs="David"/>
                <w:rtl/>
              </w:rPr>
            </w:pPr>
          </w:p>
          <w:p w:rsidR="00C025D9" w:rsidRDefault="00C025D9" w:rsidP="00867304">
            <w:pPr>
              <w:jc w:val="center"/>
              <w:rPr>
                <w:rFonts w:cs="David"/>
                <w:rtl/>
              </w:rPr>
            </w:pPr>
          </w:p>
          <w:p w:rsidR="00C025D9" w:rsidRDefault="00C025D9" w:rsidP="00867304">
            <w:pPr>
              <w:jc w:val="center"/>
              <w:rPr>
                <w:rFonts w:cs="David"/>
                <w:rtl/>
              </w:rPr>
            </w:pPr>
            <w:r>
              <w:rPr>
                <w:rFonts w:cs="David" w:hint="cs"/>
                <w:rtl/>
              </w:rPr>
              <w:t>סדרה רביעית מחייבת</w:t>
            </w:r>
          </w:p>
          <w:p w:rsidR="00C025D9" w:rsidRDefault="00C025D9" w:rsidP="00867304">
            <w:pPr>
              <w:jc w:val="center"/>
              <w:rPr>
                <w:rFonts w:cs="David"/>
                <w:rtl/>
              </w:rPr>
            </w:pPr>
          </w:p>
          <w:p w:rsidR="00C025D9" w:rsidRPr="00A46FED" w:rsidRDefault="00C025D9" w:rsidP="00867304">
            <w:pPr>
              <w:jc w:val="center"/>
              <w:rPr>
                <w:rFonts w:cs="David"/>
                <w:rtl/>
              </w:rPr>
            </w:pPr>
            <w:r w:rsidRPr="005B6A89">
              <w:rPr>
                <w:rFonts w:cs="David"/>
              </w:rPr>
              <w:t>Fourth Suit Forcing</w:t>
            </w:r>
          </w:p>
        </w:tc>
        <w:tc>
          <w:tcPr>
            <w:tcW w:w="9070" w:type="dxa"/>
            <w:vMerge w:val="restart"/>
            <w:shd w:val="clear" w:color="auto" w:fill="auto"/>
          </w:tcPr>
          <w:p w:rsidR="00C025D9" w:rsidRDefault="00C025D9" w:rsidP="00867304">
            <w:pPr>
              <w:jc w:val="both"/>
              <w:rPr>
                <w:rFonts w:cs="David"/>
                <w:rtl/>
              </w:rPr>
            </w:pPr>
            <w:r>
              <w:rPr>
                <w:rFonts w:cs="David" w:hint="cs"/>
                <w:rtl/>
              </w:rPr>
              <w:t>הכרזה שנייה של המשיב המכריז סדרה רביעית שטרם הוכרזה לפחות בגובה 2. הכרזה מלאכותית זו נעשית לאחר שהוכרזו ע"י השותפות 3 סדרות שונות</w:t>
            </w:r>
            <w:r>
              <w:rPr>
                <w:rFonts w:cs="David" w:hint="cs"/>
              </w:rPr>
              <w:t xml:space="preserve"> </w:t>
            </w:r>
            <w:r>
              <w:rPr>
                <w:rFonts w:cs="David" w:hint="cs"/>
                <w:rtl/>
              </w:rPr>
              <w:t xml:space="preserve"> (לא כולל רצף הכרזות:</w:t>
            </w:r>
            <w:r w:rsidRPr="000F5219">
              <w:rPr>
                <w:rFonts w:ascii="Arial" w:hAnsi="Arial" w:cs="Arial"/>
                <w:color w:val="000066"/>
                <w:sz w:val="27"/>
                <w:szCs w:val="27"/>
              </w:rPr>
              <w:t xml:space="preserve"> </w:t>
            </w:r>
            <w:r>
              <w:rPr>
                <w:rFonts w:ascii="Arial" w:hAnsi="Arial" w:cs="Arial"/>
                <w:noProof/>
                <w:color w:val="000066"/>
                <w:sz w:val="27"/>
                <w:szCs w:val="27"/>
              </w:rPr>
              <w:drawing>
                <wp:inline distT="0" distB="0" distL="0" distR="0">
                  <wp:extent cx="114300" cy="104775"/>
                  <wp:effectExtent l="19050" t="0" r="0" b="0"/>
                  <wp:docPr id="3" name="תמונה 1" descr="http://www.bridgeguys.com/graphic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eguys.com/graphics/s.gif"/>
                          <pic:cNvPicPr>
                            <a:picLocks noChangeAspect="1" noChangeArrowheads="1"/>
                          </pic:cNvPicPr>
                        </pic:nvPicPr>
                        <pic:blipFill>
                          <a:blip r:embed="rId4"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Pr>
                <w:rFonts w:ascii="Arial" w:hAnsi="Arial" w:cs="David" w:hint="cs"/>
                <w:color w:val="000066"/>
                <w:sz w:val="27"/>
                <w:szCs w:val="27"/>
                <w:rtl/>
              </w:rPr>
              <w:t>1;</w:t>
            </w:r>
            <w:r>
              <w:rPr>
                <w:rFonts w:ascii="Arial" w:hAnsi="Arial" w:cs="David"/>
                <w:noProof/>
                <w:color w:val="000066"/>
              </w:rPr>
              <w:drawing>
                <wp:inline distT="0" distB="0" distL="0" distR="0">
                  <wp:extent cx="133350" cy="104775"/>
                  <wp:effectExtent l="19050" t="0" r="0" b="0"/>
                  <wp:docPr id="4" name="תמונה 2" descr="http://www.bridgeguys.com/graphic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idgeguys.com/graphics/h.gif"/>
                          <pic:cNvPicPr>
                            <a:picLocks noChangeAspect="1" noChangeArrowheads="1"/>
                          </pic:cNvPicPr>
                        </pic:nvPicPr>
                        <pic:blipFill>
                          <a:blip r:embed="rId5"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D02D0E">
              <w:rPr>
                <w:rFonts w:cs="David" w:hint="cs"/>
                <w:rtl/>
              </w:rPr>
              <w:t>1</w:t>
            </w:r>
            <w:r w:rsidRPr="000F5219">
              <w:rPr>
                <w:rFonts w:ascii="Arial" w:hAnsi="Arial" w:cs="Arial" w:hint="cs"/>
                <w:color w:val="FF0000"/>
                <w:rtl/>
              </w:rPr>
              <w:t xml:space="preserve"> </w:t>
            </w:r>
            <w:r w:rsidRPr="00D02D0E">
              <w:rPr>
                <w:rFonts w:cs="David" w:hint="cs"/>
                <w:rtl/>
              </w:rPr>
              <w:t>;</w:t>
            </w:r>
            <w:r w:rsidRPr="000F5219">
              <w:rPr>
                <w:rFonts w:ascii="Arial" w:hAnsi="Arial" w:cs="Arial" w:hint="cs"/>
                <w:color w:val="FF0000"/>
                <w:rtl/>
              </w:rPr>
              <w:t>♦</w:t>
            </w:r>
            <w:r>
              <w:rPr>
                <w:rFonts w:cs="David" w:hint="cs"/>
                <w:rtl/>
              </w:rPr>
              <w:t>1</w:t>
            </w:r>
            <w:r w:rsidRPr="000F5219">
              <w:rPr>
                <w:rFonts w:cs="David" w:hint="cs"/>
                <w:rtl/>
              </w:rPr>
              <w:t xml:space="preserve"> </w:t>
            </w:r>
            <w:r>
              <w:rPr>
                <w:rFonts w:cs="David" w:hint="cs"/>
                <w:rtl/>
              </w:rPr>
              <w:t>;</w:t>
            </w:r>
            <w:r w:rsidRPr="000F5219">
              <w:rPr>
                <w:rFonts w:ascii="Arial" w:hAnsi="Arial" w:cs="Arial" w:hint="cs"/>
                <w:rtl/>
              </w:rPr>
              <w:t>♣</w:t>
            </w:r>
            <w:r>
              <w:rPr>
                <w:rFonts w:cs="David" w:hint="cs"/>
                <w:rtl/>
              </w:rPr>
              <w:t xml:space="preserve">1). הכרזת </w:t>
            </w:r>
            <w:r w:rsidRPr="00A96B0B">
              <w:rPr>
                <w:rFonts w:cs="David"/>
              </w:rPr>
              <w:t>Fourth Suit Forcing</w:t>
            </w:r>
            <w:r w:rsidRPr="00A96B0B">
              <w:rPr>
                <w:rFonts w:cs="David" w:hint="cs"/>
                <w:rtl/>
              </w:rPr>
              <w:t xml:space="preserve"> </w:t>
            </w:r>
            <w:r>
              <w:rPr>
                <w:rFonts w:cs="David" w:hint="cs"/>
                <w:rtl/>
              </w:rPr>
              <w:t>מחייבת את השותפות להגיע למשחק מלא. מאפשרת למשיב לתאר יד עם פתיחה ו-5 קלפים ב-</w:t>
            </w:r>
            <w:r>
              <w:rPr>
                <w:rFonts w:cs="David"/>
              </w:rPr>
              <w:t>Major</w:t>
            </w:r>
            <w:r>
              <w:rPr>
                <w:rFonts w:cs="David" w:hint="cs"/>
                <w:rtl/>
              </w:rPr>
              <w:t>; לשאול על עוצר בסדרה הרביעית; לבדוק אפשרות לסלאם אם לשותף פתיחה חזקה. התנאים להכרזה: מספר הנקודות של השותפות מספיק למשחק מלא (ככלל: למכריז יש לפחות פתיחה); אינה מחייבת עוצרים או אורך בסדרה.</w:t>
            </w:r>
          </w:p>
          <w:p w:rsidR="00C025D9" w:rsidRDefault="00C025D9" w:rsidP="00867304">
            <w:pPr>
              <w:jc w:val="both"/>
              <w:rPr>
                <w:rFonts w:cs="David"/>
                <w:rtl/>
              </w:rPr>
            </w:pPr>
            <w:r>
              <w:rPr>
                <w:rFonts w:cs="David" w:hint="cs"/>
                <w:rtl/>
              </w:rPr>
              <w:t xml:space="preserve">אחרי הכרזת </w:t>
            </w:r>
            <w:r w:rsidRPr="005B6A89">
              <w:rPr>
                <w:rFonts w:cs="David"/>
              </w:rPr>
              <w:t>Fourth Suit Forcing</w:t>
            </w:r>
            <w:r>
              <w:rPr>
                <w:rFonts w:cs="David" w:hint="cs"/>
                <w:rtl/>
              </w:rPr>
              <w:t xml:space="preserve">, הפותח יכול להכריז </w:t>
            </w:r>
            <w:r>
              <w:rPr>
                <w:rFonts w:cs="David" w:hint="cs"/>
              </w:rPr>
              <w:t>NT</w:t>
            </w:r>
            <w:r>
              <w:rPr>
                <w:rFonts w:cs="David" w:hint="cs"/>
                <w:rtl/>
              </w:rPr>
              <w:t xml:space="preserve"> רק אם יש לו עוצר בסדרה הרביעית שהוכרזה ע"י המשיב. הסיבה: הכרת המשיב אינה מבטיחה עוצר בסדרה הרביעית. תפקיד הפותח, לאחר הכרזת סדרה רביעית, הוא לתאר את כוחו וחלוקת ידו בצורה המדויקת ככל שניתן. בסופו של דבר המשיב הוא שיחליט מהו החוזה הסופי!</w:t>
            </w:r>
          </w:p>
          <w:p w:rsidR="00C025D9" w:rsidRPr="00A96B0B" w:rsidRDefault="00C025D9" w:rsidP="00867304">
            <w:pPr>
              <w:jc w:val="both"/>
              <w:rPr>
                <w:rFonts w:cs="David"/>
                <w:rtl/>
              </w:rPr>
            </w:pPr>
            <w:r w:rsidRPr="00A96B0B">
              <w:rPr>
                <w:rFonts w:cs="David" w:hint="cs"/>
                <w:rtl/>
              </w:rPr>
              <w:t>פותח ששותפו השתמש ב-</w:t>
            </w:r>
            <w:r w:rsidRPr="00A96B0B">
              <w:rPr>
                <w:rFonts w:cs="David"/>
              </w:rPr>
              <w:t xml:space="preserve"> Fourth Suit Forcing</w:t>
            </w:r>
            <w:r w:rsidRPr="00A96B0B">
              <w:rPr>
                <w:rFonts w:cs="David" w:hint="cs"/>
                <w:rtl/>
              </w:rPr>
              <w:t>, ואין לו 3 קלפים בסדרת ה-</w:t>
            </w:r>
            <w:r w:rsidRPr="00A96B0B">
              <w:rPr>
                <w:rFonts w:cs="David"/>
              </w:rPr>
              <w:t>Major</w:t>
            </w:r>
            <w:r w:rsidRPr="00A96B0B">
              <w:rPr>
                <w:rFonts w:cs="David" w:hint="cs"/>
                <w:rtl/>
              </w:rPr>
              <w:t xml:space="preserve"> של השותף, יכריז </w:t>
            </w:r>
            <w:r w:rsidRPr="00A96B0B">
              <w:rPr>
                <w:rFonts w:cs="David" w:hint="cs"/>
              </w:rPr>
              <w:t>NT</w:t>
            </w:r>
            <w:r w:rsidRPr="00A96B0B">
              <w:rPr>
                <w:rFonts w:cs="David" w:hint="cs"/>
                <w:rtl/>
              </w:rPr>
              <w:t xml:space="preserve"> כאשר יש לו עוצר בסדרת המתנגדים וחלוקה מאוזנת או חצי מאוזנת.</w:t>
            </w:r>
          </w:p>
          <w:p w:rsidR="00C025D9" w:rsidRDefault="00C025D9" w:rsidP="00867304">
            <w:pPr>
              <w:jc w:val="both"/>
              <w:rPr>
                <w:rFonts w:cs="David"/>
                <w:rtl/>
              </w:rPr>
            </w:pPr>
            <w:r w:rsidRPr="00A96B0B">
              <w:rPr>
                <w:rFonts w:cs="David" w:hint="cs"/>
                <w:rtl/>
              </w:rPr>
              <w:t xml:space="preserve">לפותח מותר להכריז </w:t>
            </w:r>
            <w:r w:rsidRPr="00A96B0B">
              <w:rPr>
                <w:rFonts w:cs="David" w:hint="cs"/>
              </w:rPr>
              <w:t>NT</w:t>
            </w:r>
            <w:r w:rsidRPr="00A96B0B">
              <w:rPr>
                <w:rFonts w:cs="David" w:hint="cs"/>
                <w:rtl/>
              </w:rPr>
              <w:t xml:space="preserve"> בסיבוב השלישי אפילו כשיש לו קלף בודד בסדרת השותף!</w:t>
            </w:r>
          </w:p>
        </w:tc>
      </w:tr>
      <w:tr w:rsidR="00C025D9" w:rsidTr="00867304">
        <w:trPr>
          <w:trHeight w:val="276"/>
        </w:trPr>
        <w:tc>
          <w:tcPr>
            <w:tcW w:w="1704" w:type="dxa"/>
            <w:vMerge/>
            <w:shd w:val="clear" w:color="auto" w:fill="auto"/>
          </w:tcPr>
          <w:p w:rsidR="00C025D9" w:rsidRPr="005B6A89" w:rsidRDefault="00C025D9" w:rsidP="00867304">
            <w:pPr>
              <w:jc w:val="center"/>
              <w:rPr>
                <w:rFonts w:cs="David"/>
              </w:rPr>
            </w:pPr>
          </w:p>
        </w:tc>
        <w:tc>
          <w:tcPr>
            <w:tcW w:w="9070" w:type="dxa"/>
            <w:vMerge/>
            <w:shd w:val="clear" w:color="auto" w:fill="auto"/>
          </w:tcPr>
          <w:p w:rsidR="00C025D9" w:rsidRDefault="00C025D9" w:rsidP="00867304">
            <w:pPr>
              <w:jc w:val="both"/>
              <w:rPr>
                <w:rFonts w:cs="David"/>
                <w:rtl/>
              </w:rPr>
            </w:pPr>
          </w:p>
        </w:tc>
      </w:tr>
      <w:tr w:rsidR="00C025D9" w:rsidTr="00867304">
        <w:trPr>
          <w:trHeight w:val="276"/>
        </w:trPr>
        <w:tc>
          <w:tcPr>
            <w:tcW w:w="1704" w:type="dxa"/>
            <w:vMerge/>
            <w:shd w:val="clear" w:color="auto" w:fill="auto"/>
          </w:tcPr>
          <w:p w:rsidR="00C025D9" w:rsidRPr="005B6A89" w:rsidRDefault="00C025D9" w:rsidP="00867304">
            <w:pPr>
              <w:jc w:val="center"/>
              <w:rPr>
                <w:rFonts w:cs="David"/>
              </w:rPr>
            </w:pPr>
          </w:p>
        </w:tc>
        <w:tc>
          <w:tcPr>
            <w:tcW w:w="9070" w:type="dxa"/>
            <w:vMerge/>
            <w:shd w:val="clear" w:color="auto" w:fill="auto"/>
          </w:tcPr>
          <w:p w:rsidR="00C025D9" w:rsidRDefault="00C025D9" w:rsidP="00867304">
            <w:pPr>
              <w:jc w:val="both"/>
              <w:rPr>
                <w:rFonts w:cs="David"/>
                <w:rtl/>
              </w:rPr>
            </w:pPr>
          </w:p>
        </w:tc>
      </w:tr>
      <w:tr w:rsidR="00C025D9" w:rsidTr="00867304">
        <w:trPr>
          <w:trHeight w:val="276"/>
        </w:trPr>
        <w:tc>
          <w:tcPr>
            <w:tcW w:w="1704" w:type="dxa"/>
            <w:vMerge/>
            <w:shd w:val="clear" w:color="auto" w:fill="auto"/>
          </w:tcPr>
          <w:p w:rsidR="00C025D9" w:rsidRPr="005B6A89" w:rsidRDefault="00C025D9" w:rsidP="00867304">
            <w:pPr>
              <w:jc w:val="center"/>
              <w:rPr>
                <w:rFonts w:cs="David"/>
              </w:rPr>
            </w:pPr>
          </w:p>
        </w:tc>
        <w:tc>
          <w:tcPr>
            <w:tcW w:w="9070" w:type="dxa"/>
            <w:vMerge/>
            <w:shd w:val="clear" w:color="auto" w:fill="auto"/>
          </w:tcPr>
          <w:p w:rsidR="00C025D9" w:rsidRDefault="00C025D9" w:rsidP="00867304">
            <w:pPr>
              <w:jc w:val="both"/>
              <w:rPr>
                <w:rFonts w:cs="David"/>
                <w:rtl/>
              </w:rPr>
            </w:pPr>
          </w:p>
        </w:tc>
      </w:tr>
      <w:tr w:rsidR="00C025D9" w:rsidTr="00867304">
        <w:trPr>
          <w:trHeight w:val="276"/>
        </w:trPr>
        <w:tc>
          <w:tcPr>
            <w:tcW w:w="1704" w:type="dxa"/>
            <w:vMerge/>
            <w:shd w:val="clear" w:color="auto" w:fill="auto"/>
          </w:tcPr>
          <w:p w:rsidR="00C025D9" w:rsidRPr="005B6A89" w:rsidRDefault="00C025D9" w:rsidP="00867304">
            <w:pPr>
              <w:jc w:val="center"/>
              <w:rPr>
                <w:rFonts w:cs="David"/>
              </w:rPr>
            </w:pPr>
          </w:p>
        </w:tc>
        <w:tc>
          <w:tcPr>
            <w:tcW w:w="9070" w:type="dxa"/>
            <w:vMerge/>
            <w:shd w:val="clear" w:color="auto" w:fill="auto"/>
          </w:tcPr>
          <w:p w:rsidR="00C025D9" w:rsidRDefault="00C025D9" w:rsidP="00867304">
            <w:pPr>
              <w:jc w:val="both"/>
              <w:rPr>
                <w:rFonts w:cs="David"/>
                <w:rtl/>
              </w:rPr>
            </w:pPr>
          </w:p>
        </w:tc>
      </w:tr>
      <w:tr w:rsidR="00C025D9" w:rsidTr="00867304">
        <w:trPr>
          <w:trHeight w:val="276"/>
        </w:trPr>
        <w:tc>
          <w:tcPr>
            <w:tcW w:w="1704" w:type="dxa"/>
            <w:vMerge/>
            <w:shd w:val="clear" w:color="auto" w:fill="auto"/>
          </w:tcPr>
          <w:p w:rsidR="00C025D9" w:rsidRPr="005B6A89" w:rsidRDefault="00C025D9" w:rsidP="00867304">
            <w:pPr>
              <w:jc w:val="center"/>
              <w:rPr>
                <w:rFonts w:cs="David"/>
              </w:rPr>
            </w:pPr>
          </w:p>
        </w:tc>
        <w:tc>
          <w:tcPr>
            <w:tcW w:w="9070" w:type="dxa"/>
            <w:vMerge/>
            <w:shd w:val="clear" w:color="auto" w:fill="auto"/>
          </w:tcPr>
          <w:p w:rsidR="00C025D9" w:rsidRDefault="00C025D9" w:rsidP="00867304">
            <w:pPr>
              <w:jc w:val="both"/>
              <w:rPr>
                <w:rFonts w:cs="David"/>
                <w:rtl/>
              </w:rPr>
            </w:pPr>
          </w:p>
        </w:tc>
      </w:tr>
      <w:tr w:rsidR="00C025D9" w:rsidTr="00867304">
        <w:trPr>
          <w:trHeight w:val="276"/>
        </w:trPr>
        <w:tc>
          <w:tcPr>
            <w:tcW w:w="1704" w:type="dxa"/>
            <w:vMerge/>
            <w:shd w:val="clear" w:color="auto" w:fill="auto"/>
          </w:tcPr>
          <w:p w:rsidR="00C025D9" w:rsidRPr="005B6A89" w:rsidRDefault="00C025D9" w:rsidP="00867304">
            <w:pPr>
              <w:jc w:val="center"/>
              <w:rPr>
                <w:rFonts w:cs="David"/>
              </w:rPr>
            </w:pPr>
          </w:p>
        </w:tc>
        <w:tc>
          <w:tcPr>
            <w:tcW w:w="9070" w:type="dxa"/>
            <w:vMerge/>
            <w:shd w:val="clear" w:color="auto" w:fill="auto"/>
          </w:tcPr>
          <w:p w:rsidR="00C025D9" w:rsidRDefault="00C025D9" w:rsidP="00867304">
            <w:pPr>
              <w:jc w:val="both"/>
              <w:rPr>
                <w:rFonts w:cs="David"/>
                <w:rtl/>
              </w:rPr>
            </w:pPr>
          </w:p>
        </w:tc>
      </w:tr>
      <w:tr w:rsidR="00C025D9" w:rsidTr="00867304">
        <w:trPr>
          <w:trHeight w:val="276"/>
        </w:trPr>
        <w:tc>
          <w:tcPr>
            <w:tcW w:w="1704" w:type="dxa"/>
            <w:vMerge/>
            <w:shd w:val="clear" w:color="auto" w:fill="auto"/>
          </w:tcPr>
          <w:p w:rsidR="00C025D9" w:rsidRPr="005B6A89" w:rsidRDefault="00C025D9" w:rsidP="00867304">
            <w:pPr>
              <w:jc w:val="center"/>
              <w:rPr>
                <w:rFonts w:cs="David"/>
              </w:rPr>
            </w:pPr>
          </w:p>
        </w:tc>
        <w:tc>
          <w:tcPr>
            <w:tcW w:w="9070" w:type="dxa"/>
            <w:vMerge/>
            <w:shd w:val="clear" w:color="auto" w:fill="auto"/>
          </w:tcPr>
          <w:p w:rsidR="00C025D9" w:rsidRDefault="00C025D9" w:rsidP="00867304">
            <w:pPr>
              <w:jc w:val="both"/>
              <w:rPr>
                <w:rFonts w:cs="David"/>
                <w:rtl/>
              </w:rPr>
            </w:pPr>
          </w:p>
        </w:tc>
      </w:tr>
    </w:tbl>
    <w:p w:rsidR="00C025D9" w:rsidRDefault="00C025D9" w:rsidP="00C025D9">
      <w:pPr>
        <w:rPr>
          <w:rFonts w:cs="David"/>
          <w:rtl/>
        </w:rPr>
      </w:pPr>
    </w:p>
    <w:p w:rsidR="00C025D9" w:rsidRPr="00A96B0B" w:rsidRDefault="00C025D9" w:rsidP="00C025D9">
      <w:pPr>
        <w:jc w:val="both"/>
        <w:rPr>
          <w:rFonts w:cs="David"/>
          <w:rtl/>
        </w:rPr>
      </w:pPr>
    </w:p>
    <w:tbl>
      <w:tblPr>
        <w:bidiVisual/>
        <w:tblW w:w="10774" w:type="dxa"/>
        <w:tblInd w:w="-10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291"/>
        <w:gridCol w:w="979"/>
        <w:gridCol w:w="5802"/>
        <w:gridCol w:w="1702"/>
      </w:tblGrid>
      <w:tr w:rsidR="00C025D9" w:rsidRPr="00A96B0B" w:rsidTr="00867304">
        <w:tc>
          <w:tcPr>
            <w:tcW w:w="2291" w:type="dxa"/>
            <w:vMerge w:val="restart"/>
            <w:vAlign w:val="center"/>
          </w:tcPr>
          <w:p w:rsidR="00C025D9" w:rsidRPr="00A96B0B" w:rsidRDefault="00C025D9" w:rsidP="00867304">
            <w:pPr>
              <w:rPr>
                <w:rFonts w:cs="David"/>
                <w:rtl/>
              </w:rPr>
            </w:pPr>
            <w:r>
              <w:rPr>
                <w:rFonts w:cs="David" w:hint="cs"/>
                <w:rtl/>
              </w:rPr>
              <w:t xml:space="preserve">המשך הכרזות </w:t>
            </w:r>
            <w:r>
              <w:rPr>
                <w:rFonts w:cs="David" w:hint="cs"/>
              </w:rPr>
              <w:t>FSF</w:t>
            </w:r>
          </w:p>
        </w:tc>
        <w:tc>
          <w:tcPr>
            <w:tcW w:w="0" w:type="auto"/>
          </w:tcPr>
          <w:p w:rsidR="00C025D9" w:rsidRPr="00A96B0B" w:rsidRDefault="00C025D9" w:rsidP="00867304">
            <w:pPr>
              <w:jc w:val="center"/>
              <w:rPr>
                <w:rFonts w:cs="David"/>
              </w:rPr>
            </w:pPr>
            <w:proofErr w:type="spellStart"/>
            <w:r w:rsidRPr="00A96B0B">
              <w:rPr>
                <w:rFonts w:cs="David" w:hint="cs"/>
                <w:rtl/>
              </w:rPr>
              <w:t>נק</w:t>
            </w:r>
            <w:proofErr w:type="spellEnd"/>
            <w:r w:rsidRPr="00A96B0B">
              <w:rPr>
                <w:rFonts w:cs="David" w:hint="cs"/>
                <w:rtl/>
              </w:rPr>
              <w:t>' הפותח</w:t>
            </w:r>
          </w:p>
        </w:tc>
        <w:tc>
          <w:tcPr>
            <w:tcW w:w="5802" w:type="dxa"/>
            <w:shd w:val="clear" w:color="auto" w:fill="auto"/>
          </w:tcPr>
          <w:p w:rsidR="00C025D9" w:rsidRPr="00A96B0B" w:rsidRDefault="00C025D9" w:rsidP="00867304">
            <w:pPr>
              <w:jc w:val="center"/>
              <w:rPr>
                <w:rFonts w:cs="David"/>
              </w:rPr>
            </w:pPr>
            <w:r w:rsidRPr="00A96B0B">
              <w:rPr>
                <w:rFonts w:cs="David" w:hint="cs"/>
                <w:rtl/>
              </w:rPr>
              <w:t>היד</w:t>
            </w:r>
          </w:p>
        </w:tc>
        <w:tc>
          <w:tcPr>
            <w:tcW w:w="1702" w:type="dxa"/>
            <w:shd w:val="clear" w:color="auto" w:fill="auto"/>
          </w:tcPr>
          <w:p w:rsidR="00C025D9" w:rsidRPr="00A96B0B" w:rsidRDefault="00C025D9" w:rsidP="00867304">
            <w:pPr>
              <w:jc w:val="center"/>
              <w:rPr>
                <w:rFonts w:cs="David"/>
                <w:rtl/>
              </w:rPr>
            </w:pPr>
            <w:r w:rsidRPr="00A96B0B">
              <w:rPr>
                <w:rFonts w:cs="David" w:hint="cs"/>
                <w:rtl/>
              </w:rPr>
              <w:t>ההכרזה</w:t>
            </w:r>
          </w:p>
        </w:tc>
      </w:tr>
      <w:tr w:rsidR="00C025D9" w:rsidRPr="00A96B0B" w:rsidTr="00867304">
        <w:trPr>
          <w:trHeight w:val="113"/>
        </w:trPr>
        <w:tc>
          <w:tcPr>
            <w:tcW w:w="2291" w:type="dxa"/>
            <w:vMerge/>
          </w:tcPr>
          <w:p w:rsidR="00C025D9" w:rsidRPr="00A96B0B" w:rsidRDefault="00C025D9" w:rsidP="00867304">
            <w:pPr>
              <w:jc w:val="center"/>
              <w:rPr>
                <w:rFonts w:cs="David"/>
                <w:rtl/>
              </w:rPr>
            </w:pPr>
          </w:p>
        </w:tc>
        <w:tc>
          <w:tcPr>
            <w:tcW w:w="0" w:type="auto"/>
          </w:tcPr>
          <w:p w:rsidR="00C025D9" w:rsidRPr="00A96B0B" w:rsidRDefault="00C025D9" w:rsidP="00867304">
            <w:pPr>
              <w:jc w:val="center"/>
              <w:rPr>
                <w:rFonts w:cs="David"/>
                <w:rtl/>
              </w:rPr>
            </w:pPr>
            <w:r w:rsidRPr="00A96B0B">
              <w:rPr>
                <w:rFonts w:cs="David" w:hint="cs"/>
                <w:rtl/>
              </w:rPr>
              <w:t>12-14</w:t>
            </w:r>
          </w:p>
        </w:tc>
        <w:tc>
          <w:tcPr>
            <w:tcW w:w="5802" w:type="dxa"/>
            <w:vMerge w:val="restart"/>
            <w:shd w:val="clear" w:color="auto" w:fill="auto"/>
          </w:tcPr>
          <w:p w:rsidR="00C025D9" w:rsidRPr="00A96B0B" w:rsidRDefault="00C025D9" w:rsidP="00867304">
            <w:pPr>
              <w:jc w:val="both"/>
              <w:rPr>
                <w:rFonts w:cs="David"/>
                <w:rtl/>
              </w:rPr>
            </w:pPr>
            <w:r w:rsidRPr="00A96B0B">
              <w:rPr>
                <w:rFonts w:cs="David" w:hint="cs"/>
                <w:rtl/>
              </w:rPr>
              <w:t>עוצר בסדרת המתנגדים וחלוקה מאוזנת או חצי מאוזנת (אלא אם שלל זאת בהכרזה קודמת)</w:t>
            </w:r>
          </w:p>
        </w:tc>
        <w:tc>
          <w:tcPr>
            <w:tcW w:w="1702" w:type="dxa"/>
            <w:shd w:val="clear" w:color="auto" w:fill="auto"/>
          </w:tcPr>
          <w:p w:rsidR="00C025D9" w:rsidRPr="00A96B0B" w:rsidRDefault="00C025D9" w:rsidP="00867304">
            <w:pPr>
              <w:jc w:val="both"/>
              <w:rPr>
                <w:rFonts w:cs="David"/>
                <w:rtl/>
              </w:rPr>
            </w:pPr>
            <w:r w:rsidRPr="00A96B0B">
              <w:rPr>
                <w:rFonts w:cs="David" w:hint="cs"/>
              </w:rPr>
              <w:t>NT</w:t>
            </w:r>
            <w:r w:rsidRPr="00A96B0B">
              <w:rPr>
                <w:rFonts w:cs="David" w:hint="cs"/>
                <w:rtl/>
              </w:rPr>
              <w:t xml:space="preserve"> ללא קפיצה</w:t>
            </w:r>
          </w:p>
        </w:tc>
      </w:tr>
      <w:tr w:rsidR="00C025D9" w:rsidRPr="00A96B0B" w:rsidTr="00867304">
        <w:tc>
          <w:tcPr>
            <w:tcW w:w="2291" w:type="dxa"/>
            <w:vMerge/>
          </w:tcPr>
          <w:p w:rsidR="00C025D9" w:rsidRPr="00A96B0B" w:rsidRDefault="00C025D9" w:rsidP="00867304">
            <w:pPr>
              <w:jc w:val="center"/>
              <w:rPr>
                <w:rFonts w:cs="David"/>
                <w:rtl/>
              </w:rPr>
            </w:pPr>
          </w:p>
        </w:tc>
        <w:tc>
          <w:tcPr>
            <w:tcW w:w="0" w:type="auto"/>
          </w:tcPr>
          <w:p w:rsidR="00C025D9" w:rsidRPr="00A96B0B" w:rsidRDefault="00C025D9" w:rsidP="00867304">
            <w:pPr>
              <w:jc w:val="center"/>
              <w:rPr>
                <w:rFonts w:cs="David"/>
                <w:rtl/>
              </w:rPr>
            </w:pPr>
            <w:r w:rsidRPr="00A96B0B">
              <w:rPr>
                <w:rFonts w:cs="David" w:hint="cs"/>
                <w:rtl/>
              </w:rPr>
              <w:t>15-17</w:t>
            </w:r>
          </w:p>
        </w:tc>
        <w:tc>
          <w:tcPr>
            <w:tcW w:w="5802" w:type="dxa"/>
            <w:vMerge/>
            <w:shd w:val="clear" w:color="auto" w:fill="auto"/>
          </w:tcPr>
          <w:p w:rsidR="00C025D9" w:rsidRPr="00A96B0B" w:rsidRDefault="00C025D9" w:rsidP="00867304">
            <w:pPr>
              <w:jc w:val="both"/>
              <w:rPr>
                <w:rFonts w:cs="David"/>
                <w:rtl/>
              </w:rPr>
            </w:pPr>
          </w:p>
        </w:tc>
        <w:tc>
          <w:tcPr>
            <w:tcW w:w="1702" w:type="dxa"/>
            <w:shd w:val="clear" w:color="auto" w:fill="auto"/>
          </w:tcPr>
          <w:p w:rsidR="00C025D9" w:rsidRPr="00A96B0B" w:rsidRDefault="00C025D9" w:rsidP="00867304">
            <w:pPr>
              <w:jc w:val="both"/>
              <w:rPr>
                <w:rFonts w:cs="David"/>
                <w:rtl/>
              </w:rPr>
            </w:pPr>
            <w:r w:rsidRPr="00A96B0B">
              <w:rPr>
                <w:rFonts w:cs="David" w:hint="cs"/>
              </w:rPr>
              <w:t>NT</w:t>
            </w:r>
            <w:r w:rsidRPr="00A96B0B">
              <w:rPr>
                <w:rFonts w:cs="David" w:hint="cs"/>
                <w:rtl/>
              </w:rPr>
              <w:t xml:space="preserve"> בקפיצה</w:t>
            </w:r>
          </w:p>
        </w:tc>
      </w:tr>
    </w:tbl>
    <w:p w:rsidR="00C025D9" w:rsidRPr="00A96B0B" w:rsidRDefault="00C025D9" w:rsidP="00C025D9">
      <w:pPr>
        <w:jc w:val="both"/>
        <w:rPr>
          <w:rFonts w:cs="David"/>
          <w:rtl/>
        </w:rPr>
      </w:pPr>
    </w:p>
    <w:tbl>
      <w:tblPr>
        <w:bidiVisual/>
        <w:tblW w:w="10774" w:type="dxa"/>
        <w:tblInd w:w="-10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326"/>
        <w:gridCol w:w="4762"/>
        <w:gridCol w:w="3686"/>
      </w:tblGrid>
      <w:tr w:rsidR="00C025D9" w:rsidRPr="00A96B0B" w:rsidTr="00867304">
        <w:tc>
          <w:tcPr>
            <w:tcW w:w="2326" w:type="dxa"/>
            <w:vAlign w:val="center"/>
          </w:tcPr>
          <w:p w:rsidR="00C025D9" w:rsidRPr="00A96B0B" w:rsidRDefault="00C025D9" w:rsidP="00867304">
            <w:pPr>
              <w:rPr>
                <w:rFonts w:cs="David"/>
                <w:rtl/>
              </w:rPr>
            </w:pPr>
            <w:r>
              <w:rPr>
                <w:rFonts w:cs="David" w:hint="cs"/>
                <w:rtl/>
              </w:rPr>
              <w:t xml:space="preserve">המשך הכרזות </w:t>
            </w:r>
            <w:r>
              <w:rPr>
                <w:rFonts w:cs="David" w:hint="cs"/>
              </w:rPr>
              <w:t>SFS</w:t>
            </w:r>
          </w:p>
        </w:tc>
        <w:tc>
          <w:tcPr>
            <w:tcW w:w="4762" w:type="dxa"/>
            <w:shd w:val="clear" w:color="auto" w:fill="auto"/>
          </w:tcPr>
          <w:p w:rsidR="00C025D9" w:rsidRPr="00A96B0B" w:rsidRDefault="00C025D9" w:rsidP="00867304">
            <w:pPr>
              <w:jc w:val="both"/>
              <w:rPr>
                <w:rFonts w:cs="David"/>
                <w:rtl/>
              </w:rPr>
            </w:pPr>
            <w:r w:rsidRPr="00A96B0B">
              <w:rPr>
                <w:rFonts w:cs="David" w:hint="cs"/>
                <w:rtl/>
              </w:rPr>
              <w:t xml:space="preserve">בהיעדר הכרזה נוחה (למשל אינו יכול להכריז </w:t>
            </w:r>
            <w:r w:rsidRPr="00A96B0B">
              <w:rPr>
                <w:rFonts w:cs="David" w:hint="cs"/>
              </w:rPr>
              <w:t>NT</w:t>
            </w:r>
            <w:r w:rsidRPr="00A96B0B">
              <w:rPr>
                <w:rFonts w:cs="David" w:hint="cs"/>
                <w:rtl/>
              </w:rPr>
              <w:t xml:space="preserve"> ללא עוצר בצבע הרביעי)</w:t>
            </w:r>
          </w:p>
        </w:tc>
        <w:tc>
          <w:tcPr>
            <w:tcW w:w="3686" w:type="dxa"/>
            <w:shd w:val="clear" w:color="auto" w:fill="auto"/>
            <w:vAlign w:val="center"/>
          </w:tcPr>
          <w:p w:rsidR="00C025D9" w:rsidRPr="00A96B0B" w:rsidRDefault="00C025D9" w:rsidP="00867304">
            <w:pPr>
              <w:rPr>
                <w:rFonts w:cs="David"/>
                <w:rtl/>
              </w:rPr>
            </w:pPr>
            <w:r w:rsidRPr="00A96B0B">
              <w:rPr>
                <w:rFonts w:cs="David" w:hint="cs"/>
                <w:rtl/>
              </w:rPr>
              <w:t>יחזור בלית ברירה על סדרתו הראשונה</w:t>
            </w:r>
          </w:p>
        </w:tc>
      </w:tr>
    </w:tbl>
    <w:p w:rsidR="00C025D9" w:rsidRPr="00C025D9" w:rsidRDefault="00C025D9">
      <w:pPr>
        <w:rPr>
          <w:rFonts w:cs="David"/>
          <w:rtl/>
        </w:rPr>
      </w:pPr>
    </w:p>
    <w:p w:rsidR="00664BDE" w:rsidRPr="00664BDE" w:rsidRDefault="00664BDE">
      <w:pPr>
        <w:rPr>
          <w:rFonts w:cs="David"/>
          <w:rtl/>
        </w:rPr>
      </w:pPr>
    </w:p>
    <w:p w:rsidR="0006514B" w:rsidRDefault="0006514B" w:rsidP="0006514B">
      <w:pPr>
        <w:bidi w:val="0"/>
        <w:rPr>
          <w:rFonts w:cs="David"/>
        </w:rPr>
      </w:pPr>
      <w:r>
        <w:t>Editing and translation rights and more</w:t>
      </w:r>
      <w:r>
        <w:rPr>
          <w:rFonts w:cs="David" w:hint="cs"/>
          <w:rtl/>
        </w:rPr>
        <w:t xml:space="preserve">© </w:t>
      </w:r>
      <w:r>
        <w:t>Copyright Gabi Levy-2013</w:t>
      </w:r>
    </w:p>
    <w:p w:rsidR="00664BDE" w:rsidRPr="0006514B" w:rsidRDefault="00664BDE">
      <w:pPr>
        <w:rPr>
          <w:rFonts w:cs="David"/>
        </w:rPr>
      </w:pPr>
    </w:p>
    <w:sectPr w:rsidR="00664BDE" w:rsidRPr="0006514B"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C025D9"/>
    <w:rsid w:val="0006514B"/>
    <w:rsid w:val="000D7081"/>
    <w:rsid w:val="00435A43"/>
    <w:rsid w:val="0055482D"/>
    <w:rsid w:val="0057073E"/>
    <w:rsid w:val="00586193"/>
    <w:rsid w:val="00664BDE"/>
    <w:rsid w:val="008B10CB"/>
    <w:rsid w:val="00C025D9"/>
    <w:rsid w:val="00FB4CE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2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paragraph" w:styleId="ab">
    <w:name w:val="Balloon Text"/>
    <w:basedOn w:val="a"/>
    <w:link w:val="ac"/>
    <w:uiPriority w:val="99"/>
    <w:semiHidden/>
    <w:unhideWhenUsed/>
    <w:rsid w:val="00C025D9"/>
    <w:rPr>
      <w:rFonts w:ascii="Tahoma" w:hAnsi="Tahoma" w:cs="Tahoma"/>
      <w:sz w:val="16"/>
      <w:szCs w:val="16"/>
    </w:rPr>
  </w:style>
  <w:style w:type="character" w:customStyle="1" w:styleId="ac">
    <w:name w:val="טקסט בלונים תו"/>
    <w:basedOn w:val="a0"/>
    <w:link w:val="ab"/>
    <w:uiPriority w:val="99"/>
    <w:semiHidden/>
    <w:rsid w:val="00C02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4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מסמך דויד.dotx</Template>
  <TotalTime>0</TotalTime>
  <Pages>1</Pages>
  <Words>319</Words>
  <Characters>1599</Characters>
  <Application>Microsoft Office Word</Application>
  <DocSecurity>0</DocSecurity>
  <Lines>13</Lines>
  <Paragraphs>3</Paragraphs>
  <ScaleCrop>false</ScaleCrop>
  <Company>Levy Family</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4</cp:revision>
  <dcterms:created xsi:type="dcterms:W3CDTF">2013-09-06T07:40:00Z</dcterms:created>
  <dcterms:modified xsi:type="dcterms:W3CDTF">2013-09-06T07:40:00Z</dcterms:modified>
</cp:coreProperties>
</file>